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Avaliador A:</w:t>
      </w:r>
    </w:p>
    <w:p w14:paraId="00000002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1"/>
          <w:szCs w:val="21"/>
        </w:rPr>
      </w:pPr>
    </w:p>
    <w:p w14:paraId="00000003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Prezados/as,</w:t>
      </w:r>
    </w:p>
    <w:p w14:paraId="00000004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1"/>
          <w:szCs w:val="21"/>
        </w:rPr>
      </w:pPr>
    </w:p>
    <w:p w14:paraId="00000005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É um prazer participar de discussões sobre temas tão sensíveis e que necessitam de maior investigação crítica no campo dos estudos organizacionais. Considero que o tema do artigo é relevante, mas carece de originalidade e de contribuições para a área dos E</w:t>
      </w:r>
      <w:r>
        <w:rPr>
          <w:color w:val="000000"/>
          <w:sz w:val="20"/>
          <w:szCs w:val="20"/>
        </w:rPr>
        <w:t>studos Organizacionais.</w:t>
      </w:r>
    </w:p>
    <w:p w14:paraId="00000006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 pontos abaixo que irei trazer objetivam contribuir para o seu trabalho, buscando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esclarecer algumas possíveis lacunas, conforme segue:</w:t>
      </w:r>
    </w:p>
    <w:p w14:paraId="00000007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contextualização precisa de um maior aprofundamento sobre a pandemia (o que ela significa, q</w:t>
      </w:r>
      <w:r>
        <w:rPr>
          <w:color w:val="000000"/>
          <w:sz w:val="20"/>
          <w:szCs w:val="20"/>
        </w:rPr>
        <w:t xml:space="preserve">uando ocorreu, o que provocou, índices de morte, entre outros </w:t>
      </w:r>
      <w:proofErr w:type="spellStart"/>
      <w:r>
        <w:rPr>
          <w:color w:val="000000"/>
          <w:sz w:val="20"/>
          <w:szCs w:val="20"/>
        </w:rPr>
        <w:t>aspectos</w:t>
      </w:r>
      <w:proofErr w:type="spellEnd"/>
      <w:r>
        <w:rPr>
          <w:color w:val="000000"/>
          <w:sz w:val="20"/>
          <w:szCs w:val="20"/>
        </w:rPr>
        <w:t xml:space="preserve"> que podem ser interessantes para os diálogos propostos no artigo). O que é rizoma? De quem é esse conceito? Como se apropriam na discussão proposta?</w:t>
      </w:r>
    </w:p>
    <w:p w14:paraId="00000008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 ideia de rizoma foi retirada do te</w:t>
      </w:r>
      <w:r>
        <w:rPr>
          <w:color w:val="FF0000"/>
          <w:sz w:val="20"/>
          <w:szCs w:val="20"/>
        </w:rPr>
        <w:t>xto sem que isso comprometesse o estudo.</w:t>
      </w:r>
    </w:p>
    <w:p w14:paraId="00000009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sz w:val="20"/>
          <w:szCs w:val="20"/>
        </w:rPr>
      </w:pPr>
    </w:p>
    <w:p w14:paraId="0000000A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Quando citam que foram criados vários decretos e medidas provisórias em tempos de pandemia, pode ser interessante citar alguma dessas medidas e/ou decretos.</w:t>
      </w:r>
    </w:p>
    <w:p w14:paraId="0000000B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É importante referenciar parágrafos na introdução para em</w:t>
      </w:r>
      <w:r>
        <w:rPr>
          <w:color w:val="000000"/>
          <w:sz w:val="20"/>
          <w:szCs w:val="20"/>
        </w:rPr>
        <w:t>basar a discussão. Esse parágrafo por exemplo, ficou “solto” se assim posso dizer, em termos de fundamentação:</w:t>
      </w:r>
    </w:p>
    <w:p w14:paraId="0000000E" w14:textId="2CF659F0" w:rsidR="00DB0294" w:rsidRDefault="000C6038" w:rsidP="00EB77D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“Os discursos mudavam constantemente. Um grupo seleto adota filtro de</w:t>
      </w:r>
      <w:r w:rsidR="00EB77D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perfil de rede social aconselhando pessoas a ficarem em casa em uma semana.</w:t>
      </w:r>
      <w:r>
        <w:rPr>
          <w:color w:val="000000"/>
          <w:sz w:val="20"/>
          <w:szCs w:val="20"/>
        </w:rPr>
        <w:t xml:space="preserve"> Na semana seguinte, inspirado por um pronunciamento do Presidente Jair Bolsonaro, o mesmo grupo promove </w:t>
      </w:r>
      <w:proofErr w:type="spellStart"/>
      <w:r>
        <w:rPr>
          <w:color w:val="000000"/>
          <w:sz w:val="20"/>
          <w:szCs w:val="20"/>
        </w:rPr>
        <w:t>carreatas</w:t>
      </w:r>
      <w:proofErr w:type="spellEnd"/>
      <w:r>
        <w:rPr>
          <w:color w:val="000000"/>
          <w:sz w:val="20"/>
          <w:szCs w:val="20"/>
        </w:rPr>
        <w:t xml:space="preserve"> com a intenção derrubar decretos municipais e estaduais que proibiam o comércio presencial funcionando. O então Ministro da Saúde insiste na </w:t>
      </w:r>
      <w:r>
        <w:rPr>
          <w:color w:val="000000"/>
          <w:sz w:val="20"/>
          <w:szCs w:val="20"/>
        </w:rPr>
        <w:t>importância de a</w:t>
      </w:r>
      <w:r w:rsidR="00EB77D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população permanecer em isolamento ao mesmo tempo em que solicita a ela que não comprem máscaras para que não faltem aos profissionais da saúde. Em menos de vinte e quatro horas depois, o mesmo ministro alerta da importância de todos utili</w:t>
      </w:r>
      <w:r>
        <w:rPr>
          <w:color w:val="000000"/>
          <w:sz w:val="20"/>
          <w:szCs w:val="20"/>
        </w:rPr>
        <w:t>zarem máscaras em público.”</w:t>
      </w:r>
    </w:p>
    <w:p w14:paraId="0000000F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Sugiro cuidado com as analogias realizadas, como a de um “navio que acaba de colidir com um iceberg”. Talvez seja melhor desenvolver uma boa contextualização e problematização no estudo.</w:t>
      </w:r>
    </w:p>
    <w:p w14:paraId="00000010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O trecho em questão foi retirado.</w:t>
      </w:r>
    </w:p>
    <w:p w14:paraId="00000011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sz w:val="20"/>
          <w:szCs w:val="20"/>
        </w:rPr>
      </w:pPr>
    </w:p>
    <w:p w14:paraId="00000012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Quando dizem que “a exclusão já foi identificada por esses estudos anteriores...” dá a entender que ela não é um processo contínuo.</w:t>
      </w:r>
    </w:p>
    <w:p w14:paraId="00000013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Talvez seja melhor reconstruir o parágrafo dizendo que o foco do estudo é em como a exclusão se acentua em situações emergen</w:t>
      </w:r>
      <w:r>
        <w:rPr>
          <w:color w:val="000000"/>
          <w:sz w:val="20"/>
          <w:szCs w:val="20"/>
        </w:rPr>
        <w:t>ciais.</w:t>
      </w:r>
    </w:p>
    <w:p w14:paraId="00000015" w14:textId="785679AE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É falado em dispositivo, qual é o significado de dispositivo em Foucault e como vocês se apropriam do conceito no texto inclusive para afirmar qu</w:t>
      </w:r>
      <w:r w:rsidR="00EB77D9">
        <w:rPr>
          <w:color w:val="000000"/>
          <w:sz w:val="20"/>
          <w:szCs w:val="20"/>
        </w:rPr>
        <w:t xml:space="preserve">e </w:t>
      </w:r>
      <w:r>
        <w:rPr>
          <w:color w:val="000000"/>
          <w:sz w:val="20"/>
          <w:szCs w:val="20"/>
        </w:rPr>
        <w:t>“foram encontrados três dispositivos que processam a materialização de corpos excluí</w:t>
      </w:r>
      <w:r>
        <w:rPr>
          <w:color w:val="000000"/>
          <w:sz w:val="20"/>
          <w:szCs w:val="20"/>
        </w:rPr>
        <w:t>dos por meio da invisibilidade”. O que é discurso de verdade em Foucault?</w:t>
      </w:r>
    </w:p>
    <w:p w14:paraId="00000016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Revejam a construção da “existência de exclusão”, soou redundante. Sugiro reescrever a fundamentação teórica em tópicos com fins didáticos.</w:t>
      </w:r>
    </w:p>
    <w:p w14:paraId="00000017" w14:textId="77777777" w:rsidR="00DB0294" w:rsidRDefault="000C60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1"/>
          <w:tab w:val="left" w:pos="1032"/>
        </w:tabs>
        <w:spacing w:after="120" w:line="249" w:lineRule="auto"/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primeiro para informar ao leitor sobre o</w:t>
      </w:r>
      <w:r>
        <w:rPr>
          <w:color w:val="000000"/>
          <w:sz w:val="20"/>
          <w:szCs w:val="20"/>
        </w:rPr>
        <w:t xml:space="preserve"> que são políticas públicas, políticas públicas emergenciais, como elas são construídas, como excluem grupos </w:t>
      </w:r>
      <w:proofErr w:type="spellStart"/>
      <w:r>
        <w:rPr>
          <w:color w:val="000000"/>
          <w:sz w:val="20"/>
          <w:szCs w:val="20"/>
        </w:rPr>
        <w:t>minorizados</w:t>
      </w:r>
      <w:proofErr w:type="spellEnd"/>
      <w:r>
        <w:rPr>
          <w:color w:val="000000"/>
          <w:sz w:val="20"/>
          <w:szCs w:val="20"/>
        </w:rPr>
        <w:t xml:space="preserve">, entre outros. E dar exemplos de políticas públicas emergenciais que excluíram grupos </w:t>
      </w:r>
      <w:proofErr w:type="spellStart"/>
      <w:r>
        <w:rPr>
          <w:color w:val="000000"/>
          <w:sz w:val="20"/>
          <w:szCs w:val="20"/>
        </w:rPr>
        <w:t>minorizados</w:t>
      </w:r>
      <w:proofErr w:type="spellEnd"/>
      <w:r>
        <w:rPr>
          <w:color w:val="000000"/>
          <w:sz w:val="20"/>
          <w:szCs w:val="20"/>
        </w:rPr>
        <w:t xml:space="preserve"> no Brasil com temáticas mais próximas</w:t>
      </w:r>
      <w:r>
        <w:rPr>
          <w:color w:val="000000"/>
          <w:sz w:val="20"/>
          <w:szCs w:val="20"/>
        </w:rPr>
        <w:t xml:space="preserve"> as noções de </w:t>
      </w:r>
      <w:proofErr w:type="spellStart"/>
      <w:r>
        <w:rPr>
          <w:color w:val="000000"/>
          <w:sz w:val="20"/>
          <w:szCs w:val="20"/>
        </w:rPr>
        <w:t>biopoder</w:t>
      </w:r>
      <w:proofErr w:type="spellEnd"/>
      <w:r>
        <w:rPr>
          <w:color w:val="000000"/>
          <w:sz w:val="20"/>
          <w:szCs w:val="20"/>
        </w:rPr>
        <w:t>, abjeção e exclusão, como por exemplo políticas que excluem pessoas trans.</w:t>
      </w:r>
    </w:p>
    <w:p w14:paraId="00000018" w14:textId="77777777" w:rsidR="00DB0294" w:rsidRDefault="000C60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1"/>
          <w:tab w:val="left" w:pos="1032"/>
        </w:tabs>
        <w:spacing w:after="120" w:line="249" w:lineRule="auto"/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É importante também articular as noções de </w:t>
      </w:r>
      <w:proofErr w:type="spellStart"/>
      <w:r>
        <w:rPr>
          <w:color w:val="000000"/>
          <w:sz w:val="20"/>
          <w:szCs w:val="20"/>
        </w:rPr>
        <w:t>biopoder</w:t>
      </w:r>
      <w:proofErr w:type="spellEnd"/>
      <w:r>
        <w:rPr>
          <w:color w:val="000000"/>
          <w:sz w:val="20"/>
          <w:szCs w:val="20"/>
        </w:rPr>
        <w:t xml:space="preserve"> e abjeção com o debate sobre </w:t>
      </w:r>
      <w:r>
        <w:rPr>
          <w:color w:val="000000"/>
          <w:sz w:val="20"/>
          <w:szCs w:val="20"/>
        </w:rPr>
        <w:lastRenderedPageBreak/>
        <w:t xml:space="preserve">a exclusão a partir dos marcadores da diferença (gênero, raça, classe, entre </w:t>
      </w:r>
      <w:r>
        <w:rPr>
          <w:color w:val="000000"/>
          <w:sz w:val="20"/>
          <w:szCs w:val="20"/>
        </w:rPr>
        <w:t xml:space="preserve">outros). Sugiro revisitarem o texto, pois os elementos que destacaram como atualização dos autores, foram tratados por Foucault, são conceitos dele. A noção de </w:t>
      </w:r>
      <w:proofErr w:type="spellStart"/>
      <w:r>
        <w:rPr>
          <w:color w:val="000000"/>
          <w:sz w:val="20"/>
          <w:szCs w:val="20"/>
        </w:rPr>
        <w:t>biopoder</w:t>
      </w:r>
      <w:proofErr w:type="spellEnd"/>
      <w:r>
        <w:rPr>
          <w:color w:val="000000"/>
          <w:sz w:val="20"/>
          <w:szCs w:val="20"/>
        </w:rPr>
        <w:t xml:space="preserve"> precisa ser bem aprofundada, não se fala em deixar morrer sem se falar em deixar viver.</w:t>
      </w:r>
      <w:r>
        <w:rPr>
          <w:color w:val="000000"/>
          <w:sz w:val="20"/>
          <w:szCs w:val="20"/>
        </w:rPr>
        <w:t xml:space="preserve"> Há uma interdependência dessas questões no controle da população.</w:t>
      </w:r>
    </w:p>
    <w:p w14:paraId="00000019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tabs>
          <w:tab w:val="left" w:pos="1031"/>
          <w:tab w:val="left" w:pos="1032"/>
        </w:tabs>
        <w:spacing w:after="120" w:line="249" w:lineRule="auto"/>
        <w:rPr>
          <w:color w:val="000000"/>
          <w:sz w:val="20"/>
          <w:szCs w:val="20"/>
        </w:rPr>
      </w:pPr>
      <w:r>
        <w:rPr>
          <w:color w:val="FF0000"/>
          <w:sz w:val="20"/>
          <w:szCs w:val="20"/>
        </w:rPr>
        <w:t xml:space="preserve">Sim, essa interdependência existe e é muito relevante para o estudo em questão. </w:t>
      </w:r>
      <w:r>
        <w:rPr>
          <w:color w:val="FF0000"/>
          <w:sz w:val="20"/>
          <w:szCs w:val="20"/>
        </w:rPr>
        <w:t>Discordamos</w:t>
      </w:r>
      <w:r>
        <w:rPr>
          <w:color w:val="FF0000"/>
          <w:sz w:val="20"/>
          <w:szCs w:val="20"/>
        </w:rPr>
        <w:t xml:space="preserve"> do avaliador no que tange à ideia de “deixar viver”. Preocupamo-nos mais com “fazer viver”, pois isso nos parece mais </w:t>
      </w:r>
      <w:proofErr w:type="spellStart"/>
      <w:r>
        <w:rPr>
          <w:color w:val="FF0000"/>
          <w:sz w:val="20"/>
          <w:szCs w:val="20"/>
        </w:rPr>
        <w:t>foucaultiano</w:t>
      </w:r>
      <w:proofErr w:type="spellEnd"/>
      <w:r>
        <w:rPr>
          <w:color w:val="FF0000"/>
          <w:sz w:val="20"/>
          <w:szCs w:val="20"/>
        </w:rPr>
        <w:t xml:space="preserve"> acerca de </w:t>
      </w:r>
      <w:proofErr w:type="spellStart"/>
      <w:r>
        <w:rPr>
          <w:color w:val="FF0000"/>
          <w:sz w:val="20"/>
          <w:szCs w:val="20"/>
        </w:rPr>
        <w:t>biopoder</w:t>
      </w:r>
      <w:proofErr w:type="spellEnd"/>
      <w:r>
        <w:rPr>
          <w:color w:val="FF0000"/>
          <w:sz w:val="20"/>
          <w:szCs w:val="20"/>
        </w:rPr>
        <w:t>. Dessa forma, fizemos algumas alterações para ressaltar isso, em adequação à sugestão do avaliador, na se</w:t>
      </w:r>
      <w:r>
        <w:rPr>
          <w:color w:val="FF0000"/>
          <w:sz w:val="20"/>
          <w:szCs w:val="20"/>
        </w:rPr>
        <w:t xml:space="preserve">ção “As contribuições do </w:t>
      </w:r>
      <w:proofErr w:type="spellStart"/>
      <w:r>
        <w:rPr>
          <w:color w:val="FF0000"/>
          <w:sz w:val="20"/>
          <w:szCs w:val="20"/>
        </w:rPr>
        <w:t>biopoder</w:t>
      </w:r>
      <w:proofErr w:type="spellEnd"/>
      <w:r>
        <w:rPr>
          <w:color w:val="FF0000"/>
          <w:sz w:val="20"/>
          <w:szCs w:val="20"/>
        </w:rPr>
        <w:t xml:space="preserve"> para o processo de exclusão”.</w:t>
      </w:r>
    </w:p>
    <w:p w14:paraId="0000001A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tabs>
          <w:tab w:val="left" w:pos="1031"/>
          <w:tab w:val="left" w:pos="1032"/>
        </w:tabs>
        <w:spacing w:after="120" w:line="249" w:lineRule="auto"/>
        <w:rPr>
          <w:sz w:val="20"/>
          <w:szCs w:val="20"/>
        </w:rPr>
      </w:pPr>
    </w:p>
    <w:p w14:paraId="0000001B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tabs>
          <w:tab w:val="left" w:pos="1031"/>
          <w:tab w:val="left" w:pos="1032"/>
        </w:tabs>
        <w:spacing w:after="120" w:line="249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Não entendi o que desejaram dizer com a frase “A nossa escolha do </w:t>
      </w:r>
      <w:proofErr w:type="spellStart"/>
      <w:r>
        <w:rPr>
          <w:color w:val="000000"/>
          <w:sz w:val="20"/>
          <w:szCs w:val="20"/>
        </w:rPr>
        <w:t>biopoder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foucaultiano</w:t>
      </w:r>
      <w:proofErr w:type="spellEnd"/>
      <w:r>
        <w:rPr>
          <w:color w:val="000000"/>
          <w:sz w:val="20"/>
          <w:szCs w:val="20"/>
        </w:rPr>
        <w:t xml:space="preserve"> se vale exatamente com vistas à liberdade da democracia justamente por, em primeiro lugar, ser este nosso contexto e, em segundo, suas sutilezas e nuanças de morte na b</w:t>
      </w:r>
      <w:r>
        <w:rPr>
          <w:color w:val="000000"/>
          <w:sz w:val="20"/>
          <w:szCs w:val="20"/>
        </w:rPr>
        <w:t>usca por fazer viver”. Liberdade de democracia? Nuances de morte na busca por fazer viver?</w:t>
      </w:r>
    </w:p>
    <w:p w14:paraId="0000001C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O trecho foi reescrito.</w:t>
      </w:r>
    </w:p>
    <w:p w14:paraId="0000001D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0"/>
          <w:szCs w:val="20"/>
        </w:rPr>
      </w:pPr>
    </w:p>
    <w:p w14:paraId="0000001E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Visitem também o texto abaixo, que pode auxiliar no debate:</w:t>
      </w:r>
    </w:p>
    <w:p w14:paraId="0000001F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Bento, </w:t>
      </w:r>
      <w:proofErr w:type="spellStart"/>
      <w:r>
        <w:rPr>
          <w:color w:val="000000"/>
          <w:sz w:val="20"/>
          <w:szCs w:val="20"/>
        </w:rPr>
        <w:t>BereniceNecrobiopoder</w:t>
      </w:r>
      <w:proofErr w:type="spellEnd"/>
      <w:r>
        <w:rPr>
          <w:color w:val="000000"/>
          <w:sz w:val="20"/>
          <w:szCs w:val="20"/>
        </w:rPr>
        <w:t>: Quem pode habitar o Estado-</w:t>
      </w:r>
      <w:proofErr w:type="gramStart"/>
      <w:r>
        <w:rPr>
          <w:color w:val="000000"/>
          <w:sz w:val="20"/>
          <w:szCs w:val="20"/>
        </w:rPr>
        <w:t>nação?.</w:t>
      </w:r>
      <w:proofErr w:type="gramEnd"/>
      <w:r>
        <w:rPr>
          <w:color w:val="000000"/>
          <w:sz w:val="20"/>
          <w:szCs w:val="20"/>
        </w:rPr>
        <w:t xml:space="preserve"> Cadernos </w:t>
      </w:r>
      <w:proofErr w:type="spellStart"/>
      <w:r>
        <w:rPr>
          <w:color w:val="000000"/>
          <w:sz w:val="20"/>
          <w:szCs w:val="20"/>
        </w:rPr>
        <w:t>Pagu</w:t>
      </w:r>
      <w:proofErr w:type="spellEnd"/>
      <w:r>
        <w:rPr>
          <w:color w:val="000000"/>
          <w:sz w:val="20"/>
          <w:szCs w:val="20"/>
        </w:rPr>
        <w:t xml:space="preserve"> [</w:t>
      </w:r>
      <w:r>
        <w:rPr>
          <w:color w:val="000000"/>
          <w:sz w:val="20"/>
          <w:szCs w:val="20"/>
        </w:rPr>
        <w:t>online]. 2018, n. 53 [</w:t>
      </w:r>
      <w:proofErr w:type="spellStart"/>
      <w:r>
        <w:rPr>
          <w:color w:val="000000"/>
          <w:sz w:val="20"/>
          <w:szCs w:val="20"/>
        </w:rPr>
        <w:t>Acessado</w:t>
      </w:r>
      <w:proofErr w:type="spellEnd"/>
      <w:r>
        <w:rPr>
          <w:color w:val="000000"/>
          <w:sz w:val="20"/>
          <w:szCs w:val="20"/>
        </w:rPr>
        <w:t xml:space="preserve"> 1 Janeiro 2022], e185305. Disponível</w:t>
      </w:r>
    </w:p>
    <w:p w14:paraId="00000020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em</w:t>
      </w:r>
      <w:proofErr w:type="gramStart"/>
      <w:r>
        <w:rPr>
          <w:color w:val="000000"/>
          <w:sz w:val="20"/>
          <w:szCs w:val="20"/>
        </w:rPr>
        <w:t>: .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Epub</w:t>
      </w:r>
      <w:proofErr w:type="spellEnd"/>
      <w:r>
        <w:rPr>
          <w:color w:val="000000"/>
          <w:sz w:val="20"/>
          <w:szCs w:val="20"/>
        </w:rPr>
        <w:t xml:space="preserve"> 11 </w:t>
      </w:r>
      <w:proofErr w:type="spellStart"/>
      <w:r>
        <w:rPr>
          <w:color w:val="000000"/>
          <w:sz w:val="20"/>
          <w:szCs w:val="20"/>
        </w:rPr>
        <w:t>Jun</w:t>
      </w:r>
      <w:proofErr w:type="spellEnd"/>
      <w:r>
        <w:rPr>
          <w:color w:val="000000"/>
          <w:sz w:val="20"/>
          <w:szCs w:val="20"/>
        </w:rPr>
        <w:t xml:space="preserve"> 2018. ISSN 1809-4449.</w:t>
      </w:r>
    </w:p>
    <w:p w14:paraId="00000021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https://doi.org/10.1590/18094449201800530005.</w:t>
      </w:r>
    </w:p>
    <w:p w14:paraId="00000022" w14:textId="77777777" w:rsidR="00DB0294" w:rsidRDefault="000C60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1"/>
          <w:tab w:val="left" w:pos="1032"/>
        </w:tabs>
        <w:spacing w:after="120" w:line="249" w:lineRule="auto"/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Fazer as amarrações necessárias entre todas as temáticas supracitas Sugiro cuidado com a “noção de hierarquia que existe nos </w:t>
      </w:r>
      <w:proofErr w:type="spellStart"/>
      <w:r>
        <w:rPr>
          <w:color w:val="000000"/>
          <w:sz w:val="20"/>
          <w:szCs w:val="20"/>
        </w:rPr>
        <w:t>binarismos</w:t>
      </w:r>
      <w:proofErr w:type="spellEnd"/>
      <w:r>
        <w:rPr>
          <w:color w:val="000000"/>
          <w:sz w:val="20"/>
          <w:szCs w:val="20"/>
        </w:rPr>
        <w:t xml:space="preserve"> estruturantes” em um texto que dialoga também com Foucault</w:t>
      </w:r>
    </w:p>
    <w:p w14:paraId="00000023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tabs>
          <w:tab w:val="left" w:pos="1031"/>
          <w:tab w:val="left" w:pos="1032"/>
        </w:tabs>
        <w:spacing w:after="120" w:line="249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Não compreendemos por que a noção de hierarquia nos </w:t>
      </w:r>
      <w:proofErr w:type="spellStart"/>
      <w:r>
        <w:rPr>
          <w:color w:val="FF0000"/>
          <w:sz w:val="20"/>
          <w:szCs w:val="20"/>
        </w:rPr>
        <w:t>binarismo</w:t>
      </w:r>
      <w:r>
        <w:rPr>
          <w:color w:val="FF0000"/>
          <w:sz w:val="20"/>
          <w:szCs w:val="20"/>
        </w:rPr>
        <w:t>s</w:t>
      </w:r>
      <w:proofErr w:type="spellEnd"/>
      <w:r>
        <w:rPr>
          <w:color w:val="FF0000"/>
          <w:sz w:val="20"/>
          <w:szCs w:val="20"/>
        </w:rPr>
        <w:t xml:space="preserve"> estruturantes seja digna de cuidado em uma pesquisa </w:t>
      </w:r>
      <w:proofErr w:type="spellStart"/>
      <w:r>
        <w:rPr>
          <w:color w:val="FF0000"/>
          <w:sz w:val="20"/>
          <w:szCs w:val="20"/>
        </w:rPr>
        <w:t>foucaultiana</w:t>
      </w:r>
      <w:proofErr w:type="spellEnd"/>
      <w:r>
        <w:rPr>
          <w:color w:val="FF0000"/>
          <w:sz w:val="20"/>
          <w:szCs w:val="20"/>
        </w:rPr>
        <w:t xml:space="preserve">, uma vez que, mesmo, por vezes, não se considerando pós-estruturalista, Foucault se preocupou com o </w:t>
      </w:r>
      <w:proofErr w:type="spellStart"/>
      <w:r>
        <w:rPr>
          <w:color w:val="FF0000"/>
          <w:sz w:val="20"/>
          <w:szCs w:val="20"/>
        </w:rPr>
        <w:t>binarismo</w:t>
      </w:r>
      <w:proofErr w:type="spellEnd"/>
      <w:r>
        <w:rPr>
          <w:color w:val="FF0000"/>
          <w:sz w:val="20"/>
          <w:szCs w:val="20"/>
        </w:rPr>
        <w:t xml:space="preserve"> como notamos em trechos as seguir:</w:t>
      </w:r>
    </w:p>
    <w:p w14:paraId="00000024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tabs>
          <w:tab w:val="left" w:pos="1031"/>
          <w:tab w:val="left" w:pos="1032"/>
        </w:tabs>
        <w:spacing w:after="120" w:line="249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O meio de introduzir afinal, nesse domínio d</w:t>
      </w:r>
      <w:r>
        <w:rPr>
          <w:color w:val="FF0000"/>
          <w:sz w:val="20"/>
          <w:szCs w:val="20"/>
        </w:rPr>
        <w:t xml:space="preserve">a vida de que o </w:t>
      </w:r>
      <w:proofErr w:type="gramStart"/>
      <w:r>
        <w:rPr>
          <w:color w:val="FF0000"/>
          <w:sz w:val="20"/>
          <w:szCs w:val="20"/>
        </w:rPr>
        <w:t>poder  se</w:t>
      </w:r>
      <w:proofErr w:type="gramEnd"/>
      <w:r>
        <w:rPr>
          <w:color w:val="FF0000"/>
          <w:sz w:val="20"/>
          <w:szCs w:val="20"/>
        </w:rPr>
        <w:t xml:space="preserve"> incumbiu, um corte: o corte entre o que deve viver e o que deve morrer. No contínuo biológico da espécie humana, o aparecimento das raças, a distinção das raças, a hierarquia das raças, a qualificação de certas raças com boas e de</w:t>
      </w:r>
      <w:r>
        <w:rPr>
          <w:color w:val="FF0000"/>
          <w:sz w:val="20"/>
          <w:szCs w:val="20"/>
        </w:rPr>
        <w:t xml:space="preserve"> outras, ao contrário, como inferiores, tudo isso vai ser uma maneira de fragmentar esse campo do biológico de que o poder se </w:t>
      </w:r>
      <w:proofErr w:type="spellStart"/>
      <w:r>
        <w:rPr>
          <w:color w:val="FF0000"/>
          <w:sz w:val="20"/>
          <w:szCs w:val="20"/>
        </w:rPr>
        <w:t>incubiu</w:t>
      </w:r>
      <w:proofErr w:type="spellEnd"/>
      <w:r>
        <w:rPr>
          <w:color w:val="FF0000"/>
          <w:sz w:val="20"/>
          <w:szCs w:val="20"/>
        </w:rPr>
        <w:t xml:space="preserve">; uma maneira de disfarçar, no interior da população, uns grupos em relação aos outros (FOUCAULT, 1999 p. 304). </w:t>
      </w:r>
    </w:p>
    <w:p w14:paraId="00000025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tabs>
          <w:tab w:val="left" w:pos="1031"/>
          <w:tab w:val="left" w:pos="1032"/>
        </w:tabs>
        <w:spacing w:after="120" w:line="249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A norma é </w:t>
      </w:r>
      <w:r>
        <w:rPr>
          <w:color w:val="FF0000"/>
          <w:sz w:val="20"/>
          <w:szCs w:val="20"/>
        </w:rPr>
        <w:t xml:space="preserve">o que pode tanto se aplicar a um corpo que se quer disciplinar quanto a urna população que se quer regulamentar. A sociedade de normalização não é, pois, nessas condições, urna espécie de sociedade disciplinar generalizada cujas instituições disciplinares </w:t>
      </w:r>
      <w:r>
        <w:rPr>
          <w:color w:val="FF0000"/>
          <w:sz w:val="20"/>
          <w:szCs w:val="20"/>
        </w:rPr>
        <w:t xml:space="preserve">teriam se alastrado e finalmente recoberto todo o espaço - essa não é, acho eu, senão uma primeira </w:t>
      </w:r>
      <w:proofErr w:type="spellStart"/>
      <w:r>
        <w:rPr>
          <w:color w:val="FF0000"/>
          <w:sz w:val="20"/>
          <w:szCs w:val="20"/>
        </w:rPr>
        <w:t>interpretaçãoo</w:t>
      </w:r>
      <w:proofErr w:type="spellEnd"/>
      <w:r>
        <w:rPr>
          <w:color w:val="FF0000"/>
          <w:sz w:val="20"/>
          <w:szCs w:val="20"/>
        </w:rPr>
        <w:t xml:space="preserve">, e insuficiente, da </w:t>
      </w:r>
      <w:proofErr w:type="spellStart"/>
      <w:r>
        <w:rPr>
          <w:color w:val="FF0000"/>
          <w:sz w:val="20"/>
          <w:szCs w:val="20"/>
        </w:rPr>
        <w:t>idéia</w:t>
      </w:r>
      <w:proofErr w:type="spellEnd"/>
      <w:r>
        <w:rPr>
          <w:color w:val="FF0000"/>
          <w:sz w:val="20"/>
          <w:szCs w:val="20"/>
        </w:rPr>
        <w:t xml:space="preserve"> de sociedade de normalização (FOUCAULT, 1999 p. 302).</w:t>
      </w:r>
    </w:p>
    <w:p w14:paraId="00000026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tabs>
          <w:tab w:val="left" w:pos="1031"/>
          <w:tab w:val="left" w:pos="1032"/>
        </w:tabs>
        <w:spacing w:after="120" w:line="249" w:lineRule="auto"/>
        <w:rPr>
          <w:color w:val="FF0000"/>
          <w:sz w:val="20"/>
          <w:szCs w:val="20"/>
        </w:rPr>
      </w:pPr>
    </w:p>
    <w:p w14:paraId="00000027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tabs>
          <w:tab w:val="left" w:pos="1031"/>
          <w:tab w:val="left" w:pos="1032"/>
        </w:tabs>
        <w:spacing w:after="120" w:line="249" w:lineRule="auto"/>
        <w:rPr>
          <w:color w:val="000000"/>
          <w:sz w:val="20"/>
          <w:szCs w:val="20"/>
        </w:rPr>
      </w:pPr>
    </w:p>
    <w:p w14:paraId="00000029" w14:textId="2CC0C9D3" w:rsidR="00DB0294" w:rsidRDefault="000C6038" w:rsidP="00EB77D9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Sugiro cuidado com construções de frase como: “O que nos int</w:t>
      </w:r>
      <w:r>
        <w:rPr>
          <w:color w:val="000000"/>
          <w:sz w:val="20"/>
          <w:szCs w:val="20"/>
        </w:rPr>
        <w:t xml:space="preserve">eressa neste estudo não é a </w:t>
      </w:r>
      <w:proofErr w:type="spellStart"/>
      <w:r>
        <w:rPr>
          <w:color w:val="000000"/>
          <w:sz w:val="20"/>
          <w:szCs w:val="20"/>
        </w:rPr>
        <w:t>performatividade</w:t>
      </w:r>
      <w:proofErr w:type="spellEnd"/>
      <w:r>
        <w:rPr>
          <w:color w:val="000000"/>
          <w:sz w:val="20"/>
          <w:szCs w:val="20"/>
        </w:rPr>
        <w:t xml:space="preserve"> de qualquer corpo. Mas de corpos abjetos. Até aqui, temos sustentação teórica para compreender que tais corpos são...”. Ficou parecendo que a </w:t>
      </w:r>
      <w:proofErr w:type="spellStart"/>
      <w:r>
        <w:rPr>
          <w:color w:val="000000"/>
          <w:sz w:val="20"/>
          <w:szCs w:val="20"/>
        </w:rPr>
        <w:t>performatividade</w:t>
      </w:r>
      <w:proofErr w:type="spellEnd"/>
      <w:r>
        <w:rPr>
          <w:color w:val="000000"/>
          <w:sz w:val="20"/>
          <w:szCs w:val="20"/>
        </w:rPr>
        <w:t xml:space="preserve"> não é ligada a</w:t>
      </w:r>
      <w:r w:rsidR="00EB77D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discussão de abjeção.</w:t>
      </w:r>
    </w:p>
    <w:p w14:paraId="0000002A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O trecho foi redigido para desfazer essa confusão.</w:t>
      </w:r>
    </w:p>
    <w:p w14:paraId="0000002B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sz w:val="20"/>
          <w:szCs w:val="20"/>
        </w:rPr>
      </w:pPr>
    </w:p>
    <w:p w14:paraId="0000002C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É importante justificar a escolha das cidades de São Paulo e Rio de Janeiro como objeto do corpus da pesquisa.</w:t>
      </w:r>
    </w:p>
    <w:p w14:paraId="0000002D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 justificativa foi inserida na seção dos procedimentos.</w:t>
      </w:r>
    </w:p>
    <w:p w14:paraId="0000002E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sz w:val="20"/>
          <w:szCs w:val="20"/>
        </w:rPr>
      </w:pPr>
    </w:p>
    <w:p w14:paraId="0000002F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Aprofundar na</w:t>
      </w:r>
      <w:r>
        <w:rPr>
          <w:color w:val="000000"/>
          <w:sz w:val="20"/>
          <w:szCs w:val="20"/>
        </w:rPr>
        <w:t xml:space="preserve"> explicação sobre a análise de discurso </w:t>
      </w:r>
      <w:proofErr w:type="spellStart"/>
      <w:r>
        <w:rPr>
          <w:color w:val="000000"/>
          <w:sz w:val="20"/>
          <w:szCs w:val="20"/>
        </w:rPr>
        <w:t>Foucaultiana</w:t>
      </w:r>
      <w:proofErr w:type="spellEnd"/>
      <w:r>
        <w:rPr>
          <w:color w:val="000000"/>
          <w:sz w:val="20"/>
          <w:szCs w:val="20"/>
        </w:rPr>
        <w:t>, que pretende analisar relações de poder e resistência e não analisar questões semânticas. Foucault também não trabalha com a noção de ideologia.</w:t>
      </w:r>
    </w:p>
    <w:p w14:paraId="00000031" w14:textId="53959869" w:rsidR="00DB0294" w:rsidRDefault="000C6038" w:rsidP="00EB77D9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Nas análises realizadas, sugiro aprofundarem em Foucault </w:t>
      </w:r>
      <w:r>
        <w:rPr>
          <w:color w:val="000000"/>
          <w:sz w:val="20"/>
          <w:szCs w:val="20"/>
        </w:rPr>
        <w:t>e não em uma análise semântica. Senti falta do diálogo com o referencial teórico, noções de abjeção, políticas de exclusão, situações emergenciais,</w:t>
      </w:r>
      <w:r w:rsidR="00EB77D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entre outros conceitos.</w:t>
      </w:r>
    </w:p>
    <w:p w14:paraId="00000032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As questões semânticas foram tomadas dentro do contexto de saber-poder. Isso pode se</w:t>
      </w:r>
      <w:r>
        <w:rPr>
          <w:color w:val="FF0000"/>
          <w:sz w:val="20"/>
          <w:szCs w:val="20"/>
        </w:rPr>
        <w:t xml:space="preserve">r averiguado na análise, sobretudo, na segunda fase. Quando a ideia de ideologia, esta foi substituída por um termo mais alinhado com a abordagem </w:t>
      </w:r>
      <w:proofErr w:type="spellStart"/>
      <w:r>
        <w:rPr>
          <w:color w:val="FF0000"/>
          <w:sz w:val="20"/>
          <w:szCs w:val="20"/>
        </w:rPr>
        <w:t>foucaultiana</w:t>
      </w:r>
      <w:proofErr w:type="spellEnd"/>
      <w:r>
        <w:rPr>
          <w:color w:val="FF0000"/>
          <w:sz w:val="20"/>
          <w:szCs w:val="20"/>
        </w:rPr>
        <w:t>. Além disso, aprofundamos o diálogo da análise com a teoria.</w:t>
      </w:r>
    </w:p>
    <w:p w14:paraId="00000033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sz w:val="20"/>
          <w:szCs w:val="20"/>
        </w:rPr>
      </w:pPr>
    </w:p>
    <w:p w14:paraId="00000034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Quando dizem nas considerações fina</w:t>
      </w:r>
      <w:r>
        <w:rPr>
          <w:color w:val="000000"/>
          <w:sz w:val="20"/>
          <w:szCs w:val="20"/>
        </w:rPr>
        <w:t xml:space="preserve">is que “Outros trabalhos precisam ser realizados para aprofundar e encontrar outras nuanças nos dispositivos aqui encontrados”, o que </w:t>
      </w:r>
      <w:proofErr w:type="gramStart"/>
      <w:r>
        <w:rPr>
          <w:color w:val="000000"/>
          <w:sz w:val="20"/>
          <w:szCs w:val="20"/>
        </w:rPr>
        <w:t>você poderiam</w:t>
      </w:r>
      <w:proofErr w:type="gramEnd"/>
      <w:r>
        <w:rPr>
          <w:color w:val="000000"/>
          <w:sz w:val="20"/>
          <w:szCs w:val="20"/>
        </w:rPr>
        <w:t xml:space="preserve"> sugerir como agenda de pesquisa a partir dos achados do estudo?</w:t>
      </w:r>
    </w:p>
    <w:p w14:paraId="00000035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Algumas agendas foram sugeridas nas consider</w:t>
      </w:r>
      <w:r>
        <w:rPr>
          <w:color w:val="FF0000"/>
          <w:sz w:val="20"/>
          <w:szCs w:val="20"/>
        </w:rPr>
        <w:t>ações finais.</w:t>
      </w:r>
    </w:p>
    <w:p w14:paraId="00000036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sz w:val="20"/>
          <w:szCs w:val="20"/>
        </w:rPr>
      </w:pPr>
    </w:p>
    <w:p w14:paraId="00000037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Sugiro ênfase em Foucault e não no estudo de “</w:t>
      </w:r>
      <w:proofErr w:type="spellStart"/>
      <w:r>
        <w:rPr>
          <w:color w:val="000000"/>
          <w:sz w:val="20"/>
          <w:szCs w:val="20"/>
        </w:rPr>
        <w:t>Rabinow</w:t>
      </w:r>
      <w:proofErr w:type="spellEnd"/>
      <w:r>
        <w:rPr>
          <w:color w:val="000000"/>
          <w:sz w:val="20"/>
          <w:szCs w:val="20"/>
        </w:rPr>
        <w:t xml:space="preserve"> e Rose (2006)” sobre o diálogo que pretenderam realizar sobre o </w:t>
      </w:r>
      <w:proofErr w:type="spellStart"/>
      <w:r>
        <w:rPr>
          <w:color w:val="000000"/>
          <w:sz w:val="20"/>
          <w:szCs w:val="20"/>
        </w:rPr>
        <w:t>biopoder</w:t>
      </w:r>
      <w:proofErr w:type="spellEnd"/>
      <w:r>
        <w:rPr>
          <w:color w:val="000000"/>
          <w:sz w:val="20"/>
          <w:szCs w:val="20"/>
        </w:rPr>
        <w:t>.</w:t>
      </w:r>
    </w:p>
    <w:p w14:paraId="00000038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Acatamos a sugestão da ênfase em Foucault. No entanto, não excluímos o estudo de </w:t>
      </w:r>
      <w:proofErr w:type="spellStart"/>
      <w:r>
        <w:rPr>
          <w:color w:val="FF0000"/>
          <w:sz w:val="20"/>
          <w:szCs w:val="20"/>
        </w:rPr>
        <w:t>Rabinow</w:t>
      </w:r>
      <w:proofErr w:type="spellEnd"/>
      <w:r>
        <w:rPr>
          <w:color w:val="FF0000"/>
          <w:sz w:val="20"/>
          <w:szCs w:val="20"/>
        </w:rPr>
        <w:t xml:space="preserve"> e Rose, apenas o utiliza</w:t>
      </w:r>
      <w:r>
        <w:rPr>
          <w:color w:val="FF0000"/>
          <w:sz w:val="20"/>
          <w:szCs w:val="20"/>
        </w:rPr>
        <w:t xml:space="preserve">mos para ressaltar nuanças do </w:t>
      </w:r>
      <w:proofErr w:type="spellStart"/>
      <w:r>
        <w:rPr>
          <w:color w:val="FF0000"/>
          <w:sz w:val="20"/>
          <w:szCs w:val="20"/>
        </w:rPr>
        <w:t>biopoder</w:t>
      </w:r>
      <w:proofErr w:type="spellEnd"/>
      <w:r>
        <w:rPr>
          <w:color w:val="FF0000"/>
          <w:sz w:val="20"/>
          <w:szCs w:val="20"/>
        </w:rPr>
        <w:t xml:space="preserve"> </w:t>
      </w:r>
      <w:proofErr w:type="spellStart"/>
      <w:r>
        <w:rPr>
          <w:color w:val="FF0000"/>
          <w:sz w:val="20"/>
          <w:szCs w:val="20"/>
        </w:rPr>
        <w:t>foucaultiano</w:t>
      </w:r>
      <w:proofErr w:type="spellEnd"/>
      <w:r>
        <w:rPr>
          <w:color w:val="FF0000"/>
          <w:sz w:val="20"/>
          <w:szCs w:val="20"/>
        </w:rPr>
        <w:t>, mantendo o foco no autor original.</w:t>
      </w:r>
    </w:p>
    <w:p w14:paraId="00000039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0"/>
          <w:szCs w:val="20"/>
        </w:rPr>
      </w:pPr>
    </w:p>
    <w:p w14:paraId="0000003A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Sugiro correção ortográfica e gramatical.</w:t>
      </w:r>
    </w:p>
    <w:p w14:paraId="0000003B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 correção foi realizada.</w:t>
      </w:r>
    </w:p>
    <w:p w14:paraId="0000003C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5"/>
          <w:szCs w:val="15"/>
        </w:rPr>
      </w:pPr>
    </w:p>
    <w:p w14:paraId="0000003D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------------------------------------------------------</w:t>
      </w:r>
    </w:p>
    <w:p w14:paraId="0000003E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5"/>
          <w:szCs w:val="15"/>
        </w:rPr>
      </w:pPr>
    </w:p>
    <w:p w14:paraId="0000003F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------------------------------------------------------</w:t>
      </w:r>
    </w:p>
    <w:p w14:paraId="00000040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Avaliador B:</w:t>
      </w:r>
    </w:p>
    <w:p w14:paraId="00000041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1"/>
          <w:szCs w:val="21"/>
        </w:rPr>
      </w:pPr>
    </w:p>
    <w:p w14:paraId="00000042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Agradeço pela oportunidade de ler e analisar o texto “Administração pública e invisibilidade: o processo biopolítico de exclusão em</w:t>
      </w:r>
      <w:r>
        <w:rPr>
          <w:color w:val="000000"/>
          <w:sz w:val="20"/>
          <w:szCs w:val="20"/>
        </w:rPr>
        <w:t xml:space="preserve"> contexto</w:t>
      </w:r>
    </w:p>
    <w:p w14:paraId="00000043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ind w:firstLine="35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 COVID-19”, cuja proposta é interessante e tem potenciais contribuições para os estudos organizacionais brasileiros. Senti-me bastante estimulada pelo título, no entanto, no decorrer da leitura, senti certo incômodo com alguns </w:t>
      </w:r>
      <w:proofErr w:type="spellStart"/>
      <w:r>
        <w:rPr>
          <w:color w:val="000000"/>
          <w:sz w:val="20"/>
          <w:szCs w:val="20"/>
        </w:rPr>
        <w:t>aspectos</w:t>
      </w:r>
      <w:proofErr w:type="spellEnd"/>
      <w:r>
        <w:rPr>
          <w:color w:val="000000"/>
          <w:sz w:val="20"/>
          <w:szCs w:val="20"/>
        </w:rPr>
        <w:t xml:space="preserve"> que dest</w:t>
      </w:r>
      <w:r>
        <w:rPr>
          <w:color w:val="000000"/>
          <w:sz w:val="20"/>
          <w:szCs w:val="20"/>
        </w:rPr>
        <w:t>aco abaixo, na expectativa de ser útil para as reflexões no aprimoramento do artigo.</w:t>
      </w:r>
    </w:p>
    <w:p w14:paraId="00000044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1"/>
          <w:szCs w:val="21"/>
        </w:rPr>
      </w:pPr>
    </w:p>
    <w:p w14:paraId="00000046" w14:textId="134A300C" w:rsidR="00DB0294" w:rsidRDefault="000C6038" w:rsidP="00EB77D9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título inicia com Administração Pública, o que não é central no texto. Eu faço uma sugestão: “Políticas Públicas e invisibilidade: a</w:t>
      </w:r>
      <w:r w:rsidR="00EB77D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ação da biopolítica sobre os corpos abjetos no contexto da COVID-19”.</w:t>
      </w:r>
    </w:p>
    <w:p w14:paraId="00000047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1"/>
          <w:szCs w:val="21"/>
        </w:rPr>
      </w:pPr>
    </w:p>
    <w:p w14:paraId="00000049" w14:textId="6E33D168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 objetivo declarado “compreender como </w:t>
      </w:r>
      <w:r>
        <w:rPr>
          <w:color w:val="000000"/>
          <w:sz w:val="20"/>
          <w:szCs w:val="20"/>
        </w:rPr>
        <w:t xml:space="preserve">se dá o processo de exclusão de corpos nas adoções </w:t>
      </w:r>
      <w:r>
        <w:rPr>
          <w:color w:val="000000"/>
          <w:sz w:val="20"/>
          <w:szCs w:val="20"/>
        </w:rPr>
        <w:lastRenderedPageBreak/>
        <w:t xml:space="preserve">de políticas públicas de emergência em contexto de </w:t>
      </w:r>
      <w:proofErr w:type="spellStart"/>
      <w:r>
        <w:rPr>
          <w:color w:val="000000"/>
          <w:sz w:val="20"/>
          <w:szCs w:val="20"/>
        </w:rPr>
        <w:t>excepcionalidade</w:t>
      </w:r>
      <w:proofErr w:type="spellEnd"/>
      <w:r>
        <w:rPr>
          <w:color w:val="000000"/>
          <w:sz w:val="20"/>
          <w:szCs w:val="20"/>
        </w:rPr>
        <w:t>” me pareceu bastante genérico, eu penso que ele se distancia dos resultados apresentados. Minha sugestão é que ele seja reelaborado consi</w:t>
      </w:r>
      <w:r>
        <w:rPr>
          <w:color w:val="000000"/>
          <w:sz w:val="20"/>
          <w:szCs w:val="20"/>
        </w:rPr>
        <w:t>derando suas delimitações.</w:t>
      </w:r>
    </w:p>
    <w:p w14:paraId="0000004A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</w:p>
    <w:p w14:paraId="0000004C" w14:textId="5CE29D10" w:rsidR="00DB0294" w:rsidRDefault="000C6038" w:rsidP="00EB77D9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texto da Introdução traz um contexto empírico, no entanto, senti falta das fontes das informações citadas, embora a pandemia seja de conhecimento público. Por exemplo: “vários decretos e medidas provisórias”. Quais? Eu penso q</w:t>
      </w:r>
      <w:r>
        <w:rPr>
          <w:color w:val="000000"/>
          <w:sz w:val="20"/>
          <w:szCs w:val="20"/>
        </w:rPr>
        <w:t xml:space="preserve">ue na introdução tem pontos </w:t>
      </w:r>
      <w:proofErr w:type="spellStart"/>
      <w:proofErr w:type="gramStart"/>
      <w:r>
        <w:rPr>
          <w:color w:val="000000"/>
          <w:sz w:val="20"/>
          <w:szCs w:val="20"/>
        </w:rPr>
        <w:t>soltos.Ainda</w:t>
      </w:r>
      <w:proofErr w:type="spellEnd"/>
      <w:proofErr w:type="gramEnd"/>
      <w:r>
        <w:rPr>
          <w:color w:val="000000"/>
          <w:sz w:val="20"/>
          <w:szCs w:val="20"/>
        </w:rPr>
        <w:t xml:space="preserve"> na introdução, senti falta de um contexto teórico para a pesquisa, as lacunas teóricas e principalmente as contribuições oferecidas pelo texto. O texto menciona que reconhece a exclusão nas políticas públicas e que </w:t>
      </w:r>
      <w:r>
        <w:rPr>
          <w:color w:val="000000"/>
          <w:sz w:val="20"/>
          <w:szCs w:val="20"/>
        </w:rPr>
        <w:t>se volta para a “ampliação circunstancial dessa exclusão no que tange o</w:t>
      </w:r>
      <w:r w:rsidR="00EB77D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modo como ocorre seu processo em meio a uma situação de emergência”, o</w:t>
      </w:r>
    </w:p>
    <w:p w14:paraId="0000004E" w14:textId="06B82D79" w:rsidR="00DB0294" w:rsidRDefault="000C6038" w:rsidP="00EB77D9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que me pareceu um pouco confuso. Bem, o texto prossegue fazendo menção aos fundamentos teóricos que sustenta a pe</w:t>
      </w:r>
      <w:r>
        <w:rPr>
          <w:color w:val="000000"/>
          <w:sz w:val="20"/>
          <w:szCs w:val="20"/>
        </w:rPr>
        <w:t>squisa, no entanto, na introdução,</w:t>
      </w:r>
      <w:r w:rsidR="00EB77D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tais fundamentos não estão articulados claramente.</w:t>
      </w:r>
    </w:p>
    <w:p w14:paraId="0000004F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Senti falta ainda de a introdução, que consiste na apresentação do texto, descrever como o texto foi desenvolvido, sua estrutura.</w:t>
      </w:r>
    </w:p>
    <w:p w14:paraId="00000050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</w:p>
    <w:p w14:paraId="00000051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A seção fundamentação teórica traz as n</w:t>
      </w:r>
      <w:r>
        <w:rPr>
          <w:color w:val="000000"/>
          <w:sz w:val="20"/>
          <w:szCs w:val="20"/>
        </w:rPr>
        <w:t xml:space="preserve">oções teóricas de </w:t>
      </w:r>
      <w:proofErr w:type="spellStart"/>
      <w:r>
        <w:rPr>
          <w:color w:val="000000"/>
          <w:sz w:val="20"/>
          <w:szCs w:val="20"/>
        </w:rPr>
        <w:t>Focault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Butler</w:t>
      </w:r>
      <w:proofErr w:type="spellEnd"/>
      <w:r>
        <w:rPr>
          <w:color w:val="000000"/>
          <w:sz w:val="20"/>
          <w:szCs w:val="20"/>
        </w:rPr>
        <w:t xml:space="preserve"> e Deleuze, no entanto, não se observa uma articulação entre elas. A ausência dessa articulação é uma barreira para uma análise capaz de trazer contribuições teóricas, avanços. Eu gostaria de ver um pouco mais desse diálogo</w:t>
      </w:r>
      <w:r>
        <w:rPr>
          <w:color w:val="000000"/>
          <w:sz w:val="20"/>
          <w:szCs w:val="20"/>
        </w:rPr>
        <w:t xml:space="preserve"> que o texto promete.</w:t>
      </w:r>
    </w:p>
    <w:p w14:paraId="00000052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Deleuze foi retirado do trabalho. No entanto, </w:t>
      </w:r>
      <w:proofErr w:type="spellStart"/>
      <w:r>
        <w:rPr>
          <w:color w:val="FF0000"/>
          <w:sz w:val="20"/>
          <w:szCs w:val="20"/>
        </w:rPr>
        <w:t>outres</w:t>
      </w:r>
      <w:proofErr w:type="spellEnd"/>
      <w:r>
        <w:rPr>
          <w:color w:val="FF0000"/>
          <w:sz w:val="20"/>
          <w:szCs w:val="20"/>
        </w:rPr>
        <w:t xml:space="preserve"> autores foram </w:t>
      </w:r>
      <w:proofErr w:type="spellStart"/>
      <w:r>
        <w:rPr>
          <w:color w:val="FF0000"/>
          <w:sz w:val="20"/>
          <w:szCs w:val="20"/>
        </w:rPr>
        <w:t>contemplades</w:t>
      </w:r>
      <w:proofErr w:type="spellEnd"/>
      <w:r>
        <w:rPr>
          <w:color w:val="FF0000"/>
          <w:sz w:val="20"/>
          <w:szCs w:val="20"/>
        </w:rPr>
        <w:t>, o que nos possibilitou uma melhor articulação teórica e empírica.</w:t>
      </w:r>
    </w:p>
    <w:p w14:paraId="00000053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sz w:val="20"/>
          <w:szCs w:val="20"/>
        </w:rPr>
      </w:pPr>
    </w:p>
    <w:p w14:paraId="00000054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Além disso, a seção, que tem um título genérico, poderia ser intitulada de modo a retr</w:t>
      </w:r>
      <w:r>
        <w:rPr>
          <w:color w:val="000000"/>
          <w:sz w:val="20"/>
          <w:szCs w:val="20"/>
        </w:rPr>
        <w:t>atar sobre o que versa.</w:t>
      </w:r>
    </w:p>
    <w:p w14:paraId="00000055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Eu sugiro ainda que </w:t>
      </w:r>
      <w:proofErr w:type="gramStart"/>
      <w:r>
        <w:rPr>
          <w:color w:val="000000"/>
          <w:sz w:val="20"/>
          <w:szCs w:val="20"/>
        </w:rPr>
        <w:t>evitem-se</w:t>
      </w:r>
      <w:proofErr w:type="gramEnd"/>
      <w:r>
        <w:rPr>
          <w:color w:val="000000"/>
          <w:sz w:val="20"/>
          <w:szCs w:val="20"/>
        </w:rPr>
        <w:t xml:space="preserve"> citações longas.</w:t>
      </w:r>
    </w:p>
    <w:p w14:paraId="00000056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1"/>
          <w:szCs w:val="21"/>
        </w:rPr>
      </w:pPr>
    </w:p>
    <w:p w14:paraId="00000057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Quanto aos procedimentos metodológicos, a opção pela “Análise de discurso </w:t>
      </w:r>
      <w:proofErr w:type="spellStart"/>
      <w:r>
        <w:rPr>
          <w:color w:val="000000"/>
          <w:sz w:val="20"/>
          <w:szCs w:val="20"/>
        </w:rPr>
        <w:t>foucaultiana</w:t>
      </w:r>
      <w:proofErr w:type="spellEnd"/>
      <w:r>
        <w:rPr>
          <w:color w:val="000000"/>
          <w:sz w:val="20"/>
          <w:szCs w:val="20"/>
        </w:rPr>
        <w:t>” foi defendida, ou seja, é apropriada para o propósito, porém, não está claramente descrita como ela foi realizada ou em que consiste exatamente, já que Foucault não dei</w:t>
      </w:r>
      <w:r>
        <w:rPr>
          <w:color w:val="000000"/>
          <w:sz w:val="20"/>
          <w:szCs w:val="20"/>
        </w:rPr>
        <w:t>xou um método.</w:t>
      </w:r>
    </w:p>
    <w:p w14:paraId="00000058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Inclusive, na seção seguinte, de aplicação da análise, recorre-se à interpretação de leitores de Foucault (</w:t>
      </w:r>
      <w:proofErr w:type="spellStart"/>
      <w:r>
        <w:rPr>
          <w:color w:val="000000"/>
          <w:sz w:val="20"/>
          <w:szCs w:val="20"/>
        </w:rPr>
        <w:t>Rabinov</w:t>
      </w:r>
      <w:proofErr w:type="spellEnd"/>
      <w:r>
        <w:rPr>
          <w:color w:val="000000"/>
          <w:sz w:val="20"/>
          <w:szCs w:val="20"/>
        </w:rPr>
        <w:t xml:space="preserve"> e Rose).</w:t>
      </w:r>
    </w:p>
    <w:p w14:paraId="00000059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Fizemos alterações na seção dos procedimentos metodológicos para que essa descrição pudesse ser evidenciada.</w:t>
      </w:r>
    </w:p>
    <w:p w14:paraId="0000005A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sz w:val="20"/>
          <w:szCs w:val="20"/>
        </w:rPr>
      </w:pPr>
    </w:p>
    <w:p w14:paraId="0000005B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análi</w:t>
      </w:r>
      <w:r>
        <w:rPr>
          <w:color w:val="000000"/>
          <w:sz w:val="20"/>
          <w:szCs w:val="20"/>
        </w:rPr>
        <w:t>se que se segue na seção de Resultados poderia começar apresentando/explicando as categorias/elementos/mecanismos. Gostei da análise, mas penso que essa seção poderia ser mais bem estruturada e, principalmente, que discutisse os achados a partir das propos</w:t>
      </w:r>
      <w:r>
        <w:rPr>
          <w:color w:val="000000"/>
          <w:sz w:val="20"/>
          <w:szCs w:val="20"/>
        </w:rPr>
        <w:t>ições teóricas de modo a oferecer contribuições teóricas relevantes, o que o texto potencialmente pode fazer.</w:t>
      </w:r>
    </w:p>
    <w:p w14:paraId="0000005C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Michel Foucault e Judith </w:t>
      </w:r>
      <w:proofErr w:type="spellStart"/>
      <w:r>
        <w:rPr>
          <w:color w:val="000000"/>
          <w:sz w:val="20"/>
          <w:szCs w:val="20"/>
        </w:rPr>
        <w:t>Butler</w:t>
      </w:r>
      <w:proofErr w:type="spellEnd"/>
      <w:r>
        <w:rPr>
          <w:color w:val="000000"/>
          <w:sz w:val="20"/>
          <w:szCs w:val="20"/>
        </w:rPr>
        <w:t xml:space="preserve"> são inquietantes e muito apropriados para defender a proposta do artigo, e, por isso, a discussão teórica na</w:t>
      </w:r>
    </w:p>
    <w:p w14:paraId="0000005D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análise precisa ser mais aprofundada, por exemplo, o alvo do </w:t>
      </w:r>
      <w:proofErr w:type="spellStart"/>
      <w:r>
        <w:rPr>
          <w:color w:val="000000"/>
          <w:sz w:val="20"/>
          <w:szCs w:val="20"/>
        </w:rPr>
        <w:t>biopoder</w:t>
      </w:r>
      <w:proofErr w:type="spellEnd"/>
      <w:r>
        <w:rPr>
          <w:color w:val="000000"/>
          <w:sz w:val="20"/>
          <w:szCs w:val="20"/>
        </w:rPr>
        <w:t xml:space="preserve"> é a população submetida a efeitos próprios da</w:t>
      </w:r>
      <w:r>
        <w:rPr>
          <w:color w:val="000000"/>
          <w:sz w:val="20"/>
          <w:szCs w:val="20"/>
        </w:rPr>
        <w:t xml:space="preserve"> vida, sendo um “Conjunto dos mecanismos pelos quais aquilo que, na espécie humana, constitui suas características biológicas fundamentais vai poder entrar numa política, numa estratégia política numa estratégia geral de </w:t>
      </w:r>
      <w:proofErr w:type="gramStart"/>
      <w:r>
        <w:rPr>
          <w:color w:val="000000"/>
          <w:sz w:val="20"/>
          <w:szCs w:val="20"/>
        </w:rPr>
        <w:t>poder”(</w:t>
      </w:r>
      <w:proofErr w:type="gramEnd"/>
      <w:r>
        <w:rPr>
          <w:color w:val="000000"/>
          <w:sz w:val="20"/>
          <w:szCs w:val="20"/>
        </w:rPr>
        <w:t>Foucault,</w:t>
      </w:r>
    </w:p>
    <w:p w14:paraId="0000005E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1999, p.3). Os cor</w:t>
      </w:r>
      <w:r>
        <w:rPr>
          <w:color w:val="000000"/>
          <w:sz w:val="20"/>
          <w:szCs w:val="20"/>
        </w:rPr>
        <w:t xml:space="preserve">pos abjetos são corpos cujas vidas não são consideradas vidas e não são importantes, constituindo-se agentes de resistência e enfrentamento ao </w:t>
      </w:r>
      <w:proofErr w:type="spellStart"/>
      <w:r>
        <w:rPr>
          <w:color w:val="000000"/>
          <w:sz w:val="20"/>
          <w:szCs w:val="20"/>
        </w:rPr>
        <w:t>biopoder</w:t>
      </w:r>
      <w:proofErr w:type="spellEnd"/>
      <w:r>
        <w:rPr>
          <w:color w:val="000000"/>
          <w:sz w:val="20"/>
          <w:szCs w:val="20"/>
        </w:rPr>
        <w:t xml:space="preserve">, no entanto, eu </w:t>
      </w:r>
      <w:r>
        <w:rPr>
          <w:color w:val="000000"/>
          <w:sz w:val="20"/>
          <w:szCs w:val="20"/>
        </w:rPr>
        <w:lastRenderedPageBreak/>
        <w:t xml:space="preserve">não vi no texto um diálogo profícuo entre Foucault e </w:t>
      </w:r>
      <w:proofErr w:type="spellStart"/>
      <w:r>
        <w:rPr>
          <w:color w:val="000000"/>
          <w:sz w:val="20"/>
          <w:szCs w:val="20"/>
        </w:rPr>
        <w:t>Butler</w:t>
      </w:r>
      <w:proofErr w:type="spellEnd"/>
      <w:r>
        <w:rPr>
          <w:color w:val="000000"/>
          <w:sz w:val="20"/>
          <w:szCs w:val="20"/>
        </w:rPr>
        <w:t xml:space="preserve"> no sentido de avançar teoric</w:t>
      </w:r>
      <w:r>
        <w:rPr>
          <w:color w:val="000000"/>
          <w:sz w:val="20"/>
          <w:szCs w:val="20"/>
        </w:rPr>
        <w:t>amente.</w:t>
      </w:r>
    </w:p>
    <w:p w14:paraId="0000005F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Enfim, eu gostaria de ver de forma mais clara o pensamento de Foucault e </w:t>
      </w:r>
      <w:proofErr w:type="spellStart"/>
      <w:r>
        <w:rPr>
          <w:color w:val="000000"/>
          <w:sz w:val="20"/>
          <w:szCs w:val="20"/>
        </w:rPr>
        <w:t>Butler</w:t>
      </w:r>
      <w:proofErr w:type="spellEnd"/>
      <w:r>
        <w:rPr>
          <w:color w:val="000000"/>
          <w:sz w:val="20"/>
          <w:szCs w:val="20"/>
        </w:rPr>
        <w:t xml:space="preserve"> na análise.</w:t>
      </w:r>
    </w:p>
    <w:p w14:paraId="00000060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Houve um grande esforço de nossa parte para que isso pudesse ser atendido.</w:t>
      </w:r>
    </w:p>
    <w:p w14:paraId="00000061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sz w:val="20"/>
          <w:szCs w:val="20"/>
        </w:rPr>
      </w:pPr>
    </w:p>
    <w:p w14:paraId="00000062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Nas considerações finais, senti falta das implicações/contribuições teóricas do </w:t>
      </w:r>
      <w:r>
        <w:rPr>
          <w:color w:val="000000"/>
          <w:sz w:val="20"/>
          <w:szCs w:val="20"/>
        </w:rPr>
        <w:t>texto, assim como uma agenda que tenha foco nas lacunas teóricas encontradas na pesquisa, e não na reaplicação ou na utilização de outros procedimentos metodológicos.</w:t>
      </w:r>
    </w:p>
    <w:p w14:paraId="00000063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Outras implicações/contribuições e a agenda foram apontadas. </w:t>
      </w:r>
    </w:p>
    <w:p w14:paraId="00000064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0"/>
          <w:szCs w:val="20"/>
        </w:rPr>
      </w:pPr>
    </w:p>
    <w:p w14:paraId="00000065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Adicionalmente, recomendo </w:t>
      </w:r>
      <w:r>
        <w:rPr>
          <w:color w:val="000000"/>
          <w:sz w:val="20"/>
          <w:szCs w:val="20"/>
        </w:rPr>
        <w:t xml:space="preserve">uma leitura criteriosa no texto para evitar incorreções (gramaticais, de pontuação e concordância) e, também, tomar alguns cuidados com o uso de termos que soam contraditórios à </w:t>
      </w:r>
      <w:proofErr w:type="spellStart"/>
      <w:r>
        <w:rPr>
          <w:color w:val="000000"/>
          <w:sz w:val="20"/>
          <w:szCs w:val="20"/>
        </w:rPr>
        <w:t>perspectiva</w:t>
      </w:r>
      <w:proofErr w:type="spellEnd"/>
      <w:r>
        <w:rPr>
          <w:color w:val="000000"/>
          <w:sz w:val="20"/>
          <w:szCs w:val="20"/>
        </w:rPr>
        <w:t xml:space="preserve"> do texto. Por exemplo, o termo constatado: “Isso pode ser ainda co</w:t>
      </w:r>
      <w:r>
        <w:rPr>
          <w:color w:val="000000"/>
          <w:sz w:val="20"/>
          <w:szCs w:val="20"/>
        </w:rPr>
        <w:t xml:space="preserve">nstatado por meio do primeiro parágrafo do artigo a que se refere SP2”, pois não se trata, de </w:t>
      </w:r>
      <w:proofErr w:type="gramStart"/>
      <w:r>
        <w:rPr>
          <w:color w:val="000000"/>
          <w:sz w:val="20"/>
          <w:szCs w:val="20"/>
        </w:rPr>
        <w:t>fato</w:t>
      </w:r>
      <w:proofErr w:type="gramEnd"/>
      <w:r>
        <w:rPr>
          <w:color w:val="000000"/>
          <w:sz w:val="20"/>
          <w:szCs w:val="20"/>
        </w:rPr>
        <w:t>, de uma comprovação.</w:t>
      </w:r>
    </w:p>
    <w:p w14:paraId="00000066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Isso foi realizado.</w:t>
      </w:r>
    </w:p>
    <w:p w14:paraId="00000067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sz w:val="20"/>
          <w:szCs w:val="20"/>
        </w:rPr>
      </w:pPr>
    </w:p>
    <w:p w14:paraId="00000068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Espero que minhas observações sejam recebidas como tentativas de contribuições.</w:t>
      </w:r>
    </w:p>
    <w:p w14:paraId="00000069" w14:textId="77777777" w:rsidR="00DB0294" w:rsidRDefault="00DB02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4"/>
          <w:szCs w:val="14"/>
        </w:rPr>
      </w:pPr>
    </w:p>
    <w:p w14:paraId="0000006A" w14:textId="77777777" w:rsidR="00DB0294" w:rsidRDefault="000C60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------------------------------------------------------</w:t>
      </w:r>
    </w:p>
    <w:p w14:paraId="0000006C" w14:textId="54F57DBD" w:rsidR="00DB0294" w:rsidRDefault="000C6038" w:rsidP="000C6038">
      <w:pPr>
        <w:pBdr>
          <w:top w:val="nil"/>
          <w:left w:val="nil"/>
          <w:bottom w:val="nil"/>
          <w:right w:val="nil"/>
          <w:between w:val="nil"/>
        </w:pBdr>
        <w:spacing w:after="120" w:line="249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Revista Brasileira de Estudos Organizacionais </w:t>
      </w:r>
      <w:hyperlink r:id="rId7">
        <w:r>
          <w:rPr>
            <w:color w:val="000000"/>
            <w:sz w:val="20"/>
            <w:szCs w:val="20"/>
          </w:rPr>
          <w:t>http://rbeo.e</w:t>
        </w:r>
        <w:r>
          <w:rPr>
            <w:color w:val="000000"/>
            <w:sz w:val="20"/>
            <w:szCs w:val="20"/>
          </w:rPr>
          <w:t>mnuvens.com.br/rbeo</w:t>
        </w:r>
      </w:hyperlink>
      <w:r>
        <w:rPr>
          <w:color w:val="000000"/>
          <w:sz w:val="20"/>
          <w:szCs w:val="20"/>
        </w:rPr>
        <w:t xml:space="preserve"> </w:t>
      </w:r>
      <w:hyperlink r:id="rId8">
        <w:r>
          <w:rPr>
            <w:color w:val="000000"/>
            <w:sz w:val="20"/>
            <w:szCs w:val="20"/>
          </w:rPr>
          <w:t>rbeo@sbeo.org.br</w:t>
        </w:r>
      </w:hyperlink>
      <w:r>
        <w:rPr>
          <w:color w:val="000000"/>
          <w:sz w:val="20"/>
          <w:szCs w:val="20"/>
        </w:rPr>
        <w:t xml:space="preserve"> </w:t>
      </w:r>
    </w:p>
    <w:sectPr w:rsidR="00DB0294" w:rsidSect="000C6038">
      <w:pgSz w:w="11910" w:h="16840"/>
      <w:pgMar w:top="1418" w:right="1701" w:bottom="1418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062CC"/>
    <w:multiLevelType w:val="multilevel"/>
    <w:tmpl w:val="FDDC8516"/>
    <w:lvl w:ilvl="0">
      <w:start w:val="1"/>
      <w:numFmt w:val="decimal"/>
      <w:lvlText w:val="%1)"/>
      <w:lvlJc w:val="left"/>
      <w:pPr>
        <w:ind w:left="676" w:hanging="356"/>
      </w:pPr>
      <w:rPr>
        <w:rFonts w:ascii="Arial MT" w:eastAsia="Arial MT" w:hAnsi="Arial MT" w:cs="Arial MT"/>
        <w:sz w:val="16"/>
        <w:szCs w:val="16"/>
      </w:rPr>
    </w:lvl>
    <w:lvl w:ilvl="1">
      <w:numFmt w:val="bullet"/>
      <w:lvlText w:val="•"/>
      <w:lvlJc w:val="left"/>
      <w:pPr>
        <w:ind w:left="1606" w:hanging="356"/>
      </w:pPr>
    </w:lvl>
    <w:lvl w:ilvl="2">
      <w:numFmt w:val="bullet"/>
      <w:lvlText w:val="•"/>
      <w:lvlJc w:val="left"/>
      <w:pPr>
        <w:ind w:left="2533" w:hanging="356"/>
      </w:pPr>
    </w:lvl>
    <w:lvl w:ilvl="3">
      <w:numFmt w:val="bullet"/>
      <w:lvlText w:val="•"/>
      <w:lvlJc w:val="left"/>
      <w:pPr>
        <w:ind w:left="3459" w:hanging="356"/>
      </w:pPr>
    </w:lvl>
    <w:lvl w:ilvl="4">
      <w:numFmt w:val="bullet"/>
      <w:lvlText w:val="•"/>
      <w:lvlJc w:val="left"/>
      <w:pPr>
        <w:ind w:left="4386" w:hanging="356"/>
      </w:pPr>
    </w:lvl>
    <w:lvl w:ilvl="5">
      <w:numFmt w:val="bullet"/>
      <w:lvlText w:val="•"/>
      <w:lvlJc w:val="left"/>
      <w:pPr>
        <w:ind w:left="5312" w:hanging="356"/>
      </w:pPr>
    </w:lvl>
    <w:lvl w:ilvl="6">
      <w:numFmt w:val="bullet"/>
      <w:lvlText w:val="•"/>
      <w:lvlJc w:val="left"/>
      <w:pPr>
        <w:ind w:left="6239" w:hanging="356"/>
      </w:pPr>
    </w:lvl>
    <w:lvl w:ilvl="7">
      <w:numFmt w:val="bullet"/>
      <w:lvlText w:val="•"/>
      <w:lvlJc w:val="left"/>
      <w:pPr>
        <w:ind w:left="7165" w:hanging="356"/>
      </w:pPr>
    </w:lvl>
    <w:lvl w:ilvl="8">
      <w:numFmt w:val="bullet"/>
      <w:lvlText w:val="•"/>
      <w:lvlJc w:val="left"/>
      <w:pPr>
        <w:ind w:left="8092" w:hanging="356"/>
      </w:pPr>
    </w:lvl>
  </w:abstractNum>
  <w:num w:numId="1" w16cid:durableId="131787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94"/>
    <w:rsid w:val="000C6038"/>
    <w:rsid w:val="00DB0294"/>
    <w:rsid w:val="00E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5CBC70"/>
  <w15:docId w15:val="{F1E82499-4C90-644F-83D5-436BB256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0"/>
      <w:ind w:left="535"/>
    </w:pPr>
    <w:rPr>
      <w:rFonts w:ascii="Arial" w:eastAsia="Arial" w:hAnsi="Arial" w:cs="Arial"/>
      <w:b/>
      <w:bCs/>
      <w:sz w:val="16"/>
      <w:szCs w:val="1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76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2"/>
      <w:ind w:left="676" w:right="369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eo@sbeo.org.br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rbeo.emnuvens.com.br/rbe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659HNhiCBJi4V7Tlo7v67ER+6g==">AMUW2mVgnWryFuZKNOIHHTfzJY4i52vLUUSr/saxgbjxTZLrdKk07JddkCCApVR+ixZpHURpzBKW3dTa0MiIO6ACy0GgPx054FL4HcGRSdaj0klKz2PkuGQ=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0220E0-A290-F34A-A141-2D0888EC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2151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Milani</dc:creator>
  <cp:lastModifiedBy>Eduardo Milani Boselli</cp:lastModifiedBy>
  <cp:revision>2</cp:revision>
  <dcterms:created xsi:type="dcterms:W3CDTF">2022-05-19T00:38:00Z</dcterms:created>
  <dcterms:modified xsi:type="dcterms:W3CDTF">2022-05-22T23:52:00Z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Mail</vt:lpwstr>
  </property>
  <property fmtid="{D5CDD505-2E9C-101B-9397-08002B2CF9AE}" pid="4" name="LastSaved">
    <vt:filetime>2022-04-28T00:00:00Z</vt:filetime>
  </property>
</Properties>
</file>