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1FF53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CORPOS QUE RESISTEM: UMA DISCUSSÃO SOBRE ETARISMO ENTRE OS LGBTS, A PARTIR DA SÉRIE “LGBT 60+: CORPOS QUE RESISTEM”</w:t>
      </w:r>
    </w:p>
    <w:p w14:paraId="11BCBF97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EAC52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F57C8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36B871AF" w14:textId="77777777" w:rsidR="00AA794F" w:rsidRDefault="006D6E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 últimos anos, as discussões sobre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têm ganhado maior destaque, especialmente em temas que abordam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 orientação sexual, identidade de gênero e idade. A série "LGBT 60+: Corpos que Resistem" evidencia como normas sociais excludentes impactaram as histórias de vida de pessoas idosas LGBTQIA +, revelando os desafios enfrentados por essa população ao longo do tempo. Ao explorar questões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diversidade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série busca desmistificar percepções negativas e quebrar ester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eótipos que perpetuam o preconceito contra essa comunidade. Além disso, reforça a importância de políticas públicas inclusivas e do compromisso social com a valorização da diversidade, ampliando a visibilidade e a inclusão dessas pessoas na sociedade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-cis-normativa.</w:t>
      </w:r>
    </w:p>
    <w:p w14:paraId="5CEE2A74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DF82D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Orientação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exual 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dade; Identidade de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ênero 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dade;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Diversidade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nterseccionalidades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Histórias de vida.</w:t>
      </w:r>
    </w:p>
    <w:p w14:paraId="14ABAF7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6A8D8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CUERPOS QUE RESISTEN: UNA DISCUSIÓN SOBRE EL AGERISMO ENTRE LGBTS, DE LA SERIE “LGBT 60+: CUERPOS QUE RESISTEN”</w:t>
      </w:r>
    </w:p>
    <w:p w14:paraId="783826AE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0D49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RESUMEN</w:t>
      </w:r>
    </w:p>
    <w:p w14:paraId="7558E74B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últimos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debates sobre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discriminación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especialmente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género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 serie “LGBT 60+: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Cuerpos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destaca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excluyentes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impactado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historias de vida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LGBTQIA+, revelando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desafíos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enfrenta esta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población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largo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Al explorar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cuestiones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discriminación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serie busca desmitificar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percepciones negativas y romper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estereotipos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perpetúan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prejuicios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 esta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reforzar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políticas públicas inclusivas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compromiso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para valorar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ampliando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estas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-cis-normativa.</w:t>
      </w:r>
    </w:p>
    <w:p w14:paraId="6EAE0FCB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0E000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Palabras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género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Discriminación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Historias de vida.</w:t>
      </w:r>
    </w:p>
    <w:p w14:paraId="04BE2038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6AB03" w14:textId="77777777" w:rsidR="00AA794F" w:rsidRDefault="006D6E46">
      <w:pPr>
        <w:spacing w:line="30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BODIES THAT RESIST: A DISCUSSION ABOUT AGERISM AMONG LGBTS, FROM THE SERIES “LGBT 60+: BODIES THAT RESIST”</w:t>
      </w:r>
    </w:p>
    <w:p w14:paraId="083B3B1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62F74" w14:textId="77777777" w:rsidR="00AA794F" w:rsidRDefault="006D6E4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7C675006" w14:textId="77777777" w:rsidR="00AA794F" w:rsidRDefault="006D6E4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LGBTphobia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prominence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intersectionality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age. The series “LGBT 60+: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exclusionary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stories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LGBTQIA+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elderly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revealing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challenges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over time.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intersectionalities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series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demystify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</w:t>
      </w:r>
      <w:r>
        <w:rPr>
          <w:rFonts w:ascii="Times New Roman" w:eastAsia="Times New Roman" w:hAnsi="Times New Roman" w:cs="Times New Roman"/>
          <w:sz w:val="24"/>
          <w:szCs w:val="24"/>
        </w:rPr>
        <w:t>eptions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break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perpetuate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prejudice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against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reinforce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inclusive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policies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commitment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-cis-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276030C" w14:textId="77777777" w:rsidR="00AA794F" w:rsidRDefault="00AA794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FA96B" w14:textId="77777777" w:rsidR="00AA794F" w:rsidRDefault="006D6E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Keywords: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intersectionalities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Life stories.</w:t>
      </w:r>
    </w:p>
    <w:p w14:paraId="04F34158" w14:textId="77777777" w:rsidR="00AA794F" w:rsidRDefault="00AA79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E8DC9" w14:textId="77777777" w:rsidR="00AA794F" w:rsidRDefault="00AA79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21011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F30ED" w14:textId="77777777" w:rsidR="00AA794F" w:rsidRDefault="006D6E46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NOTAS DE ENSINO</w:t>
      </w:r>
    </w:p>
    <w:p w14:paraId="3B24A8EC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</w:p>
    <w:p w14:paraId="087141C0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41852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 caso traz à tona o problema socia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 do preconceito em pessoa com mais de 60 anos LGBT, ou seja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interseccionalidade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sendo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conceituado como o preconceito e estereótipos com relação a idade, dirigido a pessoas de qualquer idade (Mattos, 2024), enquanto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é entendida como o preconceito voltada as pessoas da comunidade LGBTQIA+ que fogem dos "padrões" da sociedade heterossexual e cis, vista como a forma correta de ser (Coelho;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Desidério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 Rocha, 2023). Implica na reflexão sobre o tema a partir de hist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órias reais do ponto de vista pessoal de cada protagonista, revelando trechos essenciais de suas vidas e problemas enfrentados pela sua orientação sexual, identidade, gênero e idade. </w:t>
      </w:r>
    </w:p>
    <w:p w14:paraId="5E55FD1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FEFEF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partir disso, observa-se uma carência na sociedade diante do assunto e uma urgência em ser discutido, podendo quebrar tabus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dilemas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associados ao tema. Apesar de movimentos em prol dos direitos e políticas conquistados ao longo de anos, a inclusão nas diversas esferas sociais ainda se faz necessária. Desmitificar preconceitos relacionados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interseccionalidade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entre idade, orientação de gênero e sexual é uma ferramenta de grande valor para ampliar a visão, que foi distorcida durante décadas, acerca desta parcela populacional.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interseccionalidade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entre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está  enraizada nesses indivíduos e pode prejudicar o 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írculo familiar, social e o trabalho deles, expor essa situação ajuda a identificar os problemas a serem discutidos e solucionados para alcançar o objetivo de uma sociedade mais inclusiva.</w:t>
      </w:r>
    </w:p>
    <w:p w14:paraId="23DC675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construção deste caso para ensino é feita a partir de informações coletadas por meio do </w:t>
      </w:r>
      <w:r>
        <w:rPr>
          <w:rFonts w:ascii="Times New Roman" w:eastAsia="Times New Roman" w:hAnsi="Times New Roman" w:cs="Times New Roman"/>
          <w:sz w:val="24"/>
          <w:szCs w:val="24"/>
        </w:rPr>
        <w:t>documentário brasileiro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LGBT 60+: Corpos que resistem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lançado em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dirigido por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Yuri Alves Fernandes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protagonizado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idosos LGBT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lgumas cenas e problemas suscitados refletem o drama social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ideia é que os diálogos e situações vividas pelos personagens possibilitem aos discentes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rememorar acontecimentos e narrativas ilustrados da trama e refletir sobre questões sociais urgentes a partir deles.</w:t>
      </w:r>
    </w:p>
    <w:p w14:paraId="5975C069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635862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BJETIVOS DO CASO</w:t>
      </w:r>
    </w:p>
    <w:p w14:paraId="1F427215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F583C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proposta tem como principais objetivos didáticos: </w:t>
      </w:r>
    </w:p>
    <w:p w14:paraId="7488D002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 discutir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indiferença enfrentada dos idosos LGBT diante os estereótipos e  associados a eles na sociedade contemporânea;</w:t>
      </w:r>
    </w:p>
    <w:sdt>
      <w:sdtPr>
        <w:tag w:val="goog_rdk_1"/>
        <w:id w:val="249163490"/>
      </w:sdtPr>
      <w:sdtEndPr/>
      <w:sdtContent>
        <w:p w14:paraId="3FA0D13E" w14:textId="77777777" w:rsidR="00AA794F" w:rsidRPr="00AA794F" w:rsidRDefault="006D6E46">
          <w:pPr>
            <w:spacing w:line="360" w:lineRule="auto"/>
            <w:ind w:left="709"/>
            <w:jc w:val="both"/>
            <w:rPr>
              <w:rPrChange w:id="0" w:author="Mayara Pires" w:date="2024-11-07T15:40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ii) permitir com que os alunos reflitam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criticamente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sobre alguns dilemas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relacionados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ao enraizamento do preconceito sobre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etarismo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e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LGBTfobia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na  sociedade e suas esferas sociais.; e,</w:t>
          </w:r>
          <w:sdt>
            <w:sdtPr>
              <w:tag w:val="goog_rdk_0"/>
              <w:id w:val="-2095615086"/>
            </w:sdtPr>
            <w:sdtEndPr/>
            <w:sdtContent/>
          </w:sdt>
        </w:p>
      </w:sdtContent>
    </w:sdt>
    <w:p w14:paraId="1787FC63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 suscitar o debate 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políticas públicas como forma de aumentar a qualidade de vida, garantir direitos e respeito à identidade e orientação sexual, promover integração social e desmistificar conceitos ultrapassados sobre idosos LGBT.</w:t>
      </w:r>
    </w:p>
    <w:p w14:paraId="56EA12AB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B0681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que diz à sua aplicação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possível utilizar este caso em atividades com discentes da graduação e da pós-graduação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 sensu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desde que o objetivo das aulas gire em torno da discussão 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diversidade, representatividade e inclusão, poder e sociedade,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dilemas enfrentados pelos </w:t>
      </w:r>
      <w:r>
        <w:rPr>
          <w:rFonts w:ascii="Times New Roman" w:eastAsia="Times New Roman" w:hAnsi="Times New Roman" w:cs="Times New Roman"/>
          <w:sz w:val="24"/>
          <w:szCs w:val="24"/>
        </w:rPr>
        <w:t>grupos sócio-historicamente marginalizados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 papel d</w:t>
      </w:r>
      <w:r>
        <w:rPr>
          <w:rFonts w:ascii="Times New Roman" w:eastAsia="Times New Roman" w:hAnsi="Times New Roman" w:cs="Times New Roman"/>
          <w:sz w:val="24"/>
          <w:szCs w:val="24"/>
        </w:rPr>
        <w:t>este debate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diante dos atravessamentos de discriminações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Logo, estes temas transversais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podem ser tratados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disciplinas como </w:t>
      </w:r>
      <w:r>
        <w:rPr>
          <w:rFonts w:ascii="Times New Roman" w:eastAsia="Times New Roman" w:hAnsi="Times New Roman" w:cs="Times New Roman"/>
          <w:sz w:val="24"/>
          <w:szCs w:val="24"/>
        </w:rPr>
        <w:t>Gestão de Pessoas,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ireito 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idadania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Diversidade nas Organizações</w:t>
      </w:r>
      <w:r>
        <w:rPr>
          <w:rFonts w:ascii="Times New Roman" w:eastAsia="Times New Roman" w:hAnsi="Times New Roman" w:cs="Times New Roman"/>
          <w:sz w:val="24"/>
          <w:szCs w:val="24"/>
        </w:rPr>
        <w:t>, Políticas Públicas e Sociedade; Sociologia das Organizações, dentre outras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9581A5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razão disto, são formuladas as seguintes questões:</w:t>
      </w:r>
    </w:p>
    <w:p w14:paraId="679B574D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1264C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QUESTÕES PARA DEBATE</w:t>
      </w:r>
    </w:p>
    <w:p w14:paraId="08D71F15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02A91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 da Inclusão e da Diversidade no Ambiente de Trabalho:</w:t>
      </w:r>
    </w:p>
    <w:p w14:paraId="2FFDD086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Questão: Com base no documentário "LGBT 60+: Corpos que resistem" e nas barreiras enfrentadas pelos protagonistas, discuta como a inclusão de trabalhadores LGBTQIA + envelhecidos pode ser melhorada no ambiente de trabalho. Quais são os principais desafios que essas pessoas enfrentam em comparação com seus colegas mais jovens e como as organizações podem implementar políticas e práticas para promover um ambiente mais inclusivo e respeitoso? Use exemplos práticos e teóricos para apoiar sua argumentação.</w:t>
      </w:r>
    </w:p>
    <w:p w14:paraId="373561F9" w14:textId="77777777" w:rsidR="00AA794F" w:rsidRDefault="00AA79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C5744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Impacto das Normas Sociais e Culturais na Gestão de Recursos Humanos:</w:t>
      </w:r>
    </w:p>
    <w:p w14:paraId="0CAC7BF6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Questão: Examine como as normas sociais e culturais que afetam a população envelhecida e LGBTQIA + podem influenciar as práticas de gestão de pessoas nas organizações. De que maneira essas normas impactam a inserção, desenvolvimento, promoção e retenção de trabalhadores com estas características? Proponha estratégias que organizações e gestores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podem adotar para mitigar os efeitos negativos dessas normas e garantir igualdade de oportunidades para todos os trabalhadores.</w:t>
      </w:r>
    </w:p>
    <w:p w14:paraId="501C3EF1" w14:textId="77777777" w:rsidR="00AA794F" w:rsidRDefault="00AA79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794B1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Desafios e Oportunidades na Criação de Políticas de Inclusão:</w:t>
      </w:r>
    </w:p>
    <w:p w14:paraId="46002EC8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Questão: Refletindo sobre as experiências compartilhadas no documentário, identifique e analise os principais desafios que as organizações enfrentam ao criar políticas de inclusão e combate 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 trabalhadores mais velhos e LGBTQIA +. Quais são as oportunidades que podem surgir de uma abordagem proativa na criação de políticas? Discuta como essas políticas podem contribuir para o desempenho organizacional e a satisfação dos trabalhadores.</w:t>
      </w:r>
    </w:p>
    <w:p w14:paraId="100F7864" w14:textId="77777777" w:rsidR="00AA794F" w:rsidRDefault="00AA79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A3D9D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Educação e Sensibilização no Ambiente Organizacional:</w:t>
      </w:r>
    </w:p>
    <w:p w14:paraId="1E6A8D19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Questão: Considere a importância da educação e da sensibilização em torno das questões enfrentadas pela população envelhecida e LGBTQIA + no local de trabalho. Como a formação e a conscientização podem ajudar a superar estereótipos e preconceitos e melhorar o contexto de trabalho? </w:t>
      </w:r>
    </w:p>
    <w:p w14:paraId="78B3C27C" w14:textId="77777777" w:rsidR="00AA794F" w:rsidRDefault="00AA79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8F70D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OTEIRO PARA DISCUSSÃO </w:t>
      </w:r>
    </w:p>
    <w:p w14:paraId="5B6A65B1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CC2B71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Sugere-se a exibição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documentário,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integralidade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sala de aula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a indicação para que os alunos o assistam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possibilitando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dessa forma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discussão das cenas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base na temática proposta. O docente poderá ainda: </w:t>
      </w:r>
    </w:p>
    <w:p w14:paraId="02AB565C" w14:textId="77777777" w:rsidR="00AA794F" w:rsidRDefault="006D6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elegar a leitura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análise das questões e elaboração das respostas de forma individual ou em grupo (em casa ou na sala de aula); </w:t>
      </w:r>
    </w:p>
    <w:p w14:paraId="021CC5C4" w14:textId="77777777" w:rsidR="00AA794F" w:rsidRDefault="006D6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nalisar e fomentar a discussão em pequenos grupos; e </w:t>
      </w:r>
    </w:p>
    <w:p w14:paraId="24DBA87B" w14:textId="77777777" w:rsidR="00AA794F" w:rsidRDefault="006D6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sessão plenária os pontos mais relevantes do filme que amparam o debate da temática. </w:t>
      </w:r>
    </w:p>
    <w:p w14:paraId="19DB2A9B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Quadro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seguir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ilustra o tempo sugerido para a realização de cada atividade.</w:t>
      </w:r>
    </w:p>
    <w:p w14:paraId="07FE49CA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176D1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 1. Cronograma sugerido para cada atividade</w:t>
      </w:r>
    </w:p>
    <w:p w14:paraId="5317FEC0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17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6"/>
        <w:gridCol w:w="6998"/>
      </w:tblGrid>
      <w:tr w:rsidR="00AA794F" w14:paraId="15007EA0" w14:textId="77777777">
        <w:trPr>
          <w:trHeight w:val="20"/>
          <w:jc w:val="center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E8E2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Tempo estimado*</w:t>
            </w:r>
          </w:p>
        </w:tc>
        <w:tc>
          <w:tcPr>
            <w:tcW w:w="6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71DD7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</w:t>
            </w:r>
          </w:p>
        </w:tc>
      </w:tr>
      <w:tr w:rsidR="00AA794F" w14:paraId="6704E5AE" w14:textId="77777777">
        <w:trPr>
          <w:trHeight w:val="20"/>
          <w:jc w:val="center"/>
        </w:trPr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67878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 min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88436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Exibição do documentário</w:t>
            </w:r>
          </w:p>
        </w:tc>
      </w:tr>
      <w:tr w:rsidR="00AA794F" w14:paraId="51DD0F7E" w14:textId="77777777">
        <w:trPr>
          <w:trHeight w:val="20"/>
          <w:jc w:val="center"/>
        </w:trPr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C2ACA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min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25469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Apresentação do caso e proposição das questões a serem debatidas pelos discentes;</w:t>
            </w:r>
          </w:p>
        </w:tc>
      </w:tr>
      <w:tr w:rsidR="00AA794F" w14:paraId="18C3C123" w14:textId="77777777">
        <w:trPr>
          <w:trHeight w:val="20"/>
          <w:jc w:val="center"/>
        </w:trPr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83C53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min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F170A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Organização da turma em pequenos grupos. Esta etapa tem o objetivo de permitir que os alunos compartilhem suas impressões e opiniões;</w:t>
            </w:r>
          </w:p>
        </w:tc>
      </w:tr>
      <w:tr w:rsidR="00AA794F" w14:paraId="501A3C3B" w14:textId="77777777">
        <w:trPr>
          <w:trHeight w:val="20"/>
          <w:jc w:val="center"/>
        </w:trPr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521C6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min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D7C67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Compartilhamento e discussão das respostas dos grupos com toda a turma;</w:t>
            </w:r>
          </w:p>
        </w:tc>
      </w:tr>
      <w:tr w:rsidR="00AA794F" w14:paraId="0921D22B" w14:textId="77777777">
        <w:trPr>
          <w:trHeight w:val="20"/>
          <w:jc w:val="center"/>
        </w:trPr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581D9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min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31037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Fechamento do caso e considerações finais a serem proferidas pelo docente.</w:t>
            </w:r>
          </w:p>
        </w:tc>
      </w:tr>
      <w:tr w:rsidR="00AA794F" w14:paraId="1BCA105C" w14:textId="77777777">
        <w:trPr>
          <w:trHeight w:val="20"/>
          <w:jc w:val="center"/>
        </w:trPr>
        <w:tc>
          <w:tcPr>
            <w:tcW w:w="91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7A55" w14:textId="77777777" w:rsidR="00AA794F" w:rsidRDefault="006D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*A sugestão baseia-se em disciplinas com aulas que totalizam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minutos/dia (4 tempos de 50 min)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1E2481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Fonte: Elaborado pel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color w:val="000000"/>
        </w:rPr>
        <w:t>s autor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color w:val="000000"/>
        </w:rPr>
        <w:t>s (202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50F4ED81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84275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APONTAMENTOS TEÓRICOS </w:t>
      </w:r>
    </w:p>
    <w:p w14:paraId="722A5F1D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introdução da temática sobre o movimento LGBT + no Brasil ganhou maior intensidade no período da Ditadura Cívico-Militar entre as décadas de 1970 e 1980, neste período a perseguição, preconceito e violência contra essas pessoas chegou no seu ápice  e, toda pessoa da comunidade ou associado, era repreendido sem direito a liberdade de expressão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Teischmann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2021). Ainda de acordo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Teischmann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(2021), mesmo diante de restrições sociais e culturais, o movimento continuou lutando por direitos de igualdade, liberdade social e de expressão. As maiores conquistas ocorreram durante o período de redemocratização no Brasil, quando a atuação de lideranças políticas resultou na aprovação de leis que garantiram direitos à comunidade LGBTQIA +. Além disso, a criação da Parada do Orgulho LGBT tornou-se uma importante forma de expressão e celebração da identida</w:t>
      </w:r>
      <w:r>
        <w:rPr>
          <w:rFonts w:ascii="Times New Roman" w:eastAsia="Times New Roman" w:hAnsi="Times New Roman" w:cs="Times New Roman"/>
          <w:sz w:val="24"/>
          <w:szCs w:val="24"/>
        </w:rPr>
        <w:t>de e das lutas desse grupo.</w:t>
      </w:r>
    </w:p>
    <w:p w14:paraId="5E8FC8DB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 ressaltar que durante a Ditadura Militar, destaca-se o surgimento de oposição ao regime por meio do jornal Lampião da Esquina, que se comprometeu a publicar boletins e promover debates sobre a comunidade LGBT, abordando as opressões enfrentadas no contexto autoritário. Esse jornal revolucionário tornou-se um importante instrumento de resistência aos atos antidemocráticos do Estado. Como consequência de sua influência, foi fundado o grupo Somos, que buscava afirmar a homossexualidade como parte legítima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sociedade. Posteriormente, surgiram subgrupos como o Grupo de Ação Lésbica Feminista, fortalecendo ainda mais a luta pelos direitos LGBTQIA+ (Soares, 2024).</w:t>
      </w:r>
    </w:p>
    <w:p w14:paraId="4D1953F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Ainda no contexto histórico, a origem dos movimentos LGBT, tanto no Brasil quanto em outros países, remonta ao século XX, nos Estados Unidos, com a fundação da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Mattachine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Essa organização clandestina reunia gays e lésbicas com o objetivo de integrar essas pessoas à sociedade da época. Um marco significativo foi a Revolta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Stonewall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 28 de junho de 1969, quando frequentadores do bar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Stonewall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incluindo homossexuais, lésbicas e travestis — enfrentaram a repressão policial em uma violenta resistência que durou três dias. No ano seguinte, uma passeata com mais de 10 mil pessoas marcou o início do Dia do Orgulho LGBT (Gomes; Zenaide, 2019).</w:t>
      </w:r>
    </w:p>
    <w:p w14:paraId="5FB840B1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o preconceito e discriminação contra pessoas que não se encaixam nas normas cis-heterossexuais, abrangendo bifobia,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lesbofobia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homofobia e transfobia, e muitas vezes resultando em atos violentos (Coelho;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Desidério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Rocha, 2023). Apesar de avanços como passeatas, paradas e grupos de defesa, essa discriminação persiste, impactando a saúde mental da comunidade LGBT. Problemas como depressão, ansiedade, automutilação e tentativas de suicídio frequentemente decorrem da rejeição familiar, religiosa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social, que trata essas pessoas com desprezo e desrespeito à sua orientação sexual e identidade de gênero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Tagliamento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2021).</w:t>
      </w:r>
    </w:p>
    <w:p w14:paraId="3A96A516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uma forma de discriminação presente também na comunidade LGBT, caracterizada por preconceitos e estereótipos relacionados à idade, afetando tanto jovens quanto idosos. Esses indivíduos frequentemente enfrentam julgamentos sobre suas capacidades, conhecimentos e gostos (Mattos, 2024). No caso dos idosos, sua sexualidade e identidade de gênero são frequentemente presumidas como cis-heterossexuais, o que reforça normas sociais que dificultam sua inclusão e os tornam invisíveis. Essa marginalização p</w:t>
      </w:r>
      <w:r>
        <w:rPr>
          <w:rFonts w:ascii="Times New Roman" w:eastAsia="Times New Roman" w:hAnsi="Times New Roman" w:cs="Times New Roman"/>
          <w:sz w:val="24"/>
          <w:szCs w:val="24"/>
        </w:rPr>
        <w:t>ode levar à homofobia internalizada dentro da própria comunidade, onde a ênfase na juventude diminui o reconhecimento e a valorização dos mais velhos no âmbito cultural e social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Crenitte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Miguel; Filho, 2019).</w:t>
      </w:r>
    </w:p>
    <w:p w14:paraId="40480E37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 contexto, os problemas vão além dos impactos na saúde mental. O bem-estar em ambientes sociais, como o trabalho, também é profundamente afetado pela exclusão, o que resulta na diminuição da eficiência e do desempenho nas atividades laborais. Esse processo prejudica a autoestima do indivíduo, refletindo negativamente em sua vida pessoal e perpetuando um ciclo de discriminação em torno do grupo marginalizado (Barbosa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>
        <w:rPr>
          <w:rFonts w:ascii="Times New Roman" w:eastAsia="Times New Roman" w:hAnsi="Times New Roman" w:cs="Times New Roman"/>
          <w:sz w:val="24"/>
          <w:szCs w:val="24"/>
        </w:rPr>
        <w:t>2024). Ainda segundo a pesquisa de Barbosa et al. (2024), é possível observar aspectos positivos quando há maior participação da diversidade LGBT+ nas tomadas de decisões, além do aproveitamento dos conhecimentos que esse grupo pode oferecer. Isso contribui para resultados gratificantes e promove um ambiente mais harmônico nas organizações.</w:t>
      </w:r>
    </w:p>
    <w:p w14:paraId="275629ED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Além dos estereótipos relacionados à orientação sexual e identidade de gênero, o enfrentamento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cotidiano é uma questão que merece destaque, especialmente no que se refere aos cuidados com a saúde do idoso – tanto física quanto mental.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pode resultar no isolamento e no abandono dos idosos por parte de seus familiares, agravando ainda mais sua vulnerabilidade social e emocional (Silva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>
        <w:rPr>
          <w:rFonts w:ascii="Times New Roman" w:eastAsia="Times New Roman" w:hAnsi="Times New Roman" w:cs="Times New Roman"/>
          <w:sz w:val="24"/>
          <w:szCs w:val="24"/>
        </w:rPr>
        <w:t>2024). A expulsão dos trabalhadores mais velhos do mercado de trabalho causa a perda de mão de obra qualificada para as empresas. O gerenciamento de informações entre diferentes gerações pode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ria promover melhorias contínuas nos resultados financeiros e na percepção dos clientes sobre a empresa, além de diversificar o ambiente organizacional. Esse intercâmbio intergeracional enriqueceria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dinâmica no local de trabalho, trazendo benefícios tanto para o desempenho da empresa quanto para a inclusão de diversas perspectivas (Silva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2021).</w:t>
      </w:r>
    </w:p>
    <w:p w14:paraId="2F9329B0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disso, as questões relacionadas à inserção dos idosos LGBT+ no contexto organizacional foram abordadas diante desse contexto, e as respostas são consideradas tanto na literatura acadêmica quanto no contexto social e histórico, proporcionando uma compreensão mais ampla e crítica sobre o tema.</w:t>
      </w:r>
    </w:p>
    <w:p w14:paraId="3BB30E71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DE628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DISCUSSÃO </w:t>
      </w:r>
    </w:p>
    <w:p w14:paraId="64B375F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10148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A partir das questões estabelecidas, é possível analisar os impactos sociais e culturais que o tema permite discutir. Para isso, a literatura fornece informações que apoiam opiniões quanto a inserção de idosos LGBT em organizações, seus direitos e desafios frente a estigmas e discriminações sofridas em relação à aspectos etário e orientação sexual e de gênero. </w:t>
      </w:r>
    </w:p>
    <w:p w14:paraId="2E5B19B9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Então, para a questão 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destaca que o ambiente organizacional está em constante transformação, especialmente no que se refere aos comportamentos e às estruturas profissionais. Diante disso, torna-se fundamental discutir o envelhecimento de pessoas LGBT+ nas organizações e as barreiras que enfrentam nesse contexto. O aumento da demanda por Qualidades Sociais no novo mercado de trabalho tem gerado não apenas oportunidades, mas também uma nova ordem social de exclusão (Juliani;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Scopinho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2020). Isso significa que indivíduos fora do </w:t>
      </w:r>
      <w:r>
        <w:rPr>
          <w:rFonts w:ascii="Times New Roman" w:eastAsia="Times New Roman" w:hAnsi="Times New Roman" w:cs="Times New Roman"/>
          <w:sz w:val="24"/>
          <w:szCs w:val="24"/>
        </w:rPr>
        <w:t>"padrão" estabelecido, como os idosos LGBT+, são frequentemente marginalizados.</w:t>
      </w:r>
    </w:p>
    <w:p w14:paraId="77F69DA1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Segundo Sousa (2023), adaptar-se à diversidade social é essencial para o ambiente organizacional, pois permite a manutenção de boas relações e interações eficientes. A autora também observa que alguns grupos, como os profissionais idosos e os membros da comunidade LGBT+, são mais afetados pela discriminação e estereótipos, incluindo a falta de flexibilidade, a suposta incapacidade de se atualizarem, a dificuldade com o uso de tecnologia, e a desconsideração de sua identidade de gênero e orientação sexual.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utores como Juliani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Scopinho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(2020) também destacam as dificuldades enfrentadas pelos colaboradores LGBT+ em relação à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passabilidade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nas empresas, que muitas vezes são forçados a se camuflar para evitar piadas, vexames e constrangimentos. Além disso,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 aponta aspectos negativos frequentemente mencionados por gestores em relação aos trabalhadores mais velhos, como limitações físicas ou mentais, exigência de salários mais altos e resistência à liderança por parte de jovens.</w:t>
      </w:r>
    </w:p>
    <w:p w14:paraId="4B0A1802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dificuldade em gerir a diversidade nas empresas resulta, em grande parte, de uma liderança que carece da capacitação necessária para a Gestão de Diversidade. Essa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responsabilidade deveria ser assumida pelo departamento de recursos humanos, com o objetivo de garantir um ambiente de trabalho inclusivo e livre de discriminações e preconceitos relacionados à orientação sexual, identidade de gênero e faixa etária. Ao promover um ambiente agradável e respeitoso para todos os funcionários, as organizações conseguiriam formar equipes heterogêneas, o que não só contribuiria para um clima organizacional mais saudável, mas também tornaria as equipes mais eficientes e produtivas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capacitação adequada da liderança, portanto, é um passo essencial para superar as barreiras enfrentadas por grupos marginalizados, como os idosos e os profissionais LGBT+, e para fomentar uma cultura de inclusão nas organizações (Bezerra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2022).</w:t>
      </w:r>
    </w:p>
    <w:p w14:paraId="5D47DB91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Outro grande problema reside na falta de políticas públicas e organizacionais que garantam a permanência desses profissionais nas empresas. Infelizmente, essa questão não é uma prioridade para a maioria das organizações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2018). Contudo, promover a diversidade e romper com processos discriminatórios são formas essenciais de ampliar os direitos humanos e garantir um ambiente mais inclusivo e igualitário, como defendem Juliani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Scopinho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(2020).</w:t>
      </w:r>
    </w:p>
    <w:p w14:paraId="28BF3786" w14:textId="77777777" w:rsidR="00AA794F" w:rsidRDefault="006D6E4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Algumas políticas podem ser implementadas para mitigar essas situações, como:</w:t>
      </w:r>
    </w:p>
    <w:p w14:paraId="4AC1CE18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Ações voltadas ao recrutamento de pessoas LGBT mais velhas, reconhecendo o vasto conhecimento sociocultural que possuem (Costa; Corrêa, 2021);.</w:t>
      </w:r>
    </w:p>
    <w:p w14:paraId="080C5453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Capacitação de gestores para que reconheçam situações de exclusão e discriminação, além de desenvolverem habilidades sociais para lidar com diferentes grupos (Jesus; Costa, 2022).</w:t>
      </w:r>
    </w:p>
    <w:p w14:paraId="5C0BB351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Mapeamento da cultura organizacional, identificando pontos vulneráveis que possam perpetuar preconceitos contra esses grupos marginalizados (Cunha; Vieira; Oliveira, 2021).</w:t>
      </w:r>
    </w:p>
    <w:p w14:paraId="47EB08FC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Criar espaços seguros para pessoas LGBT idosas compartilharem experiências, fortalecendo a representatividade e incentivando a inclusão no ambiente de trabalho (Paranhos, 2023).</w:t>
      </w:r>
    </w:p>
    <w:p w14:paraId="1EC48E3B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  Promover trocas de experiência entre profissionais jovens e idosos LGBT, incentivando a valorização do conhecimento e diminuindo preconceitos entre gerações (Jesus; Costa, 2022).</w:t>
      </w:r>
    </w:p>
    <w:p w14:paraId="75912960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Essas medidas podem ajudar a quebrar barreiras, tornando o ambiente organizacional mais inclusivo e favorecendo um desempenho mais harmonioso no mercado de trabalho.</w:t>
      </w:r>
    </w:p>
    <w:p w14:paraId="5CED2DB3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268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Para a questão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entende-se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ambiente organizacional, os fatores sociais e culturais apresentam grande significância nos comportamentos e atitudes dos trabalhadores,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bem como na gestão de pessoas. Nesse sentido, Corrêa e Costa (2022), apresentam o recrutamento como um processo de seleção e comparação entre candidatos a vagas de emprego; no entanto, alguns candidatos estão sujeitos a discriminações com base nesses mesmos fatores sociais e culturais, especialmente ao pertencerem a grupos marginalizados, como idosos e pessoas LGBTQIA</w:t>
      </w:r>
      <w:r>
        <w:rPr>
          <w:rFonts w:ascii="Times New Roman" w:eastAsia="Times New Roman" w:hAnsi="Times New Roman" w:cs="Times New Roman"/>
          <w:sz w:val="24"/>
          <w:szCs w:val="24"/>
        </w:rPr>
        <w:t>+.</w:t>
      </w:r>
    </w:p>
    <w:p w14:paraId="04762EF0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critérios de recrutamento podem variar dependendo da empresa, incluindo orientação sexual e idade. Contudo, as competências dos candidatos devem ser avaliadas com igual peso para a seleção e incorporação de novos colaboradores, inclusive grupos diversos como gays, lésbicas, transexuais e outros que contribuem para uma cultura e ambiente diversificado nas empresas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Lima, 2023). Infelizmente, o contexto social e cultural ainda prevalece na seleção e gestão de pessoas, resultando em discriminação contra grupos menos favorecidos.</w:t>
      </w:r>
    </w:p>
    <w:p w14:paraId="44F36682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Estereótipos sobre a velhice e a comunidade LGBTQIA + impactam a gestão organizacional, especialmente quando pessoas desses grupos estão presentes no ambiente de trabalho. No caso dos estereótipos relacionados à idade, esses podem resultar em aspectos negativos, como exclusão social, impacto no desempenho dos colaboradores e perda de identidade dos indivíduos (Silva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>
        <w:rPr>
          <w:rFonts w:ascii="Times New Roman" w:eastAsia="Times New Roman" w:hAnsi="Times New Roman" w:cs="Times New Roman"/>
          <w:sz w:val="24"/>
          <w:szCs w:val="24"/>
        </w:rPr>
        <w:t>2021). Da mesma forma, a presença de indivíduos LGBTQIA+ pode ser acompanhada de discriminação por orientação sexual e identidade de gênero, exclusão social e desmotivação no trabalho (Lando; Santos; D'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2020).</w:t>
      </w:r>
    </w:p>
    <w:p w14:paraId="48B06158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busca pela excelência baseada em funcionários com alto grau de competências sofre interferências relacionadas às diversidades sociais e culturais. Situações de constrangimento e preconceito são frequentes nas corporações, resultando em uma ordem social excludente entre trabalhadores. Essa realidade contraria o aumento de Qualidades Sociais exigidas dentro das organizações por meio do uso de recursos humanos (Juliani;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Scopinho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2020).</w:t>
      </w:r>
    </w:p>
    <w:p w14:paraId="319337D3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visão "utilitarista" pode também dificultar o desenvolvimento das empresas, ao implicar no uso preferencial de pessoas jovens e consideradas "úteis", excluindo outros grupos (Corrêa; Costa, 2022). Pires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(2021) destacam percepções dos gestores sobre trabalhadores mais velhos, evidenciando tanto desafios quanto vantagens na inclusão desse grupo nas organizações. Entre os pontos negativos, mencionam-se dificuldades em lidar com novas tecnologias, aceitar lideranças jovens e acompanhar mudanças rápidas, fatores que alimentam a ideia de baixa adaptabilidade. No entanto, os gestores reconhecem qualidades como experiência, comprometimento, produtividade e eficiência, atributos que geram expectativas positi</w:t>
      </w:r>
      <w:r>
        <w:rPr>
          <w:rFonts w:ascii="Times New Roman" w:eastAsia="Times New Roman" w:hAnsi="Times New Roman" w:cs="Times New Roman"/>
          <w:sz w:val="24"/>
          <w:szCs w:val="24"/>
        </w:rPr>
        <w:t>vas sobre sua contribuição no ambiente corporativo. Essa dualidade ressalta a importância de estratégias que valorizem a qualificação desse grupo, superando preconceitos e maximizando seus impactos positivos nas empresas.</w:t>
      </w:r>
    </w:p>
    <w:p w14:paraId="77D15EBC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Diante disso, a carência de uma abordagem analítica sobre o tema é evidente, sendo necessárias práticas gerenciais para combater discriminações no ambiente corporativo (Trindade; Moura;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2024). Ainda segundo os autores, o Departamento de Recursos Humanos deve potencializar e incentivar a valorização da diversidade nas empresas, promovendo maior desempenho nas equipes e melhores resultados.</w:t>
      </w:r>
    </w:p>
    <w:p w14:paraId="362C3E45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 enfatiza o uso de políticas institucionais para promover a permanência, evitar exclusão e conscientizar sobre a importância de grupos marginalizados, como pessoas mais velhas, nas organizações. Ao adaptar a diversidade social no ambiente de trabalho, contribui-se para boas relações e interações eficientes entre os colaboradores (De Sousa, 2023).</w:t>
      </w:r>
    </w:p>
    <w:p w14:paraId="5A5DAD2A" w14:textId="77777777" w:rsidR="00AA794F" w:rsidRDefault="006D6E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et. 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(2021) defendem o uso de equipes intergeracionais para melhorar a harmonia e mitigar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 empresas, tornando a colaboração entre diferentes gerações uma peça-chave na superação de estigmas e estereótipos, além de proporcionar um ambiente estável e saudável para colaboradores mais velhos. Lando, Santos e D'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(2020) afirmam que a responsabilidade social, implementada junto a ações que valorizem a diversidade dos trabalhadores, pode maximizar a força de trabalho. Complementando essas ide</w:t>
      </w:r>
      <w:r>
        <w:rPr>
          <w:rFonts w:ascii="Times New Roman" w:eastAsia="Times New Roman" w:hAnsi="Times New Roman" w:cs="Times New Roman"/>
          <w:sz w:val="24"/>
          <w:szCs w:val="24"/>
        </w:rPr>
        <w:t>ias, uma gestão diversificada e participativa, aliada a estratégias de diversidade e políticas de inclusão social, proporciona vantagem competitiva ao oferecer melhores condições de trabalho, permitindo que os funcionários expressem suas identidades sem receio de preconceito ou discriminação (Lando; Santos; D'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2020).</w:t>
      </w:r>
    </w:p>
    <w:p w14:paraId="56C904C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8AB3E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Para a questão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destaca-se que o </w:t>
      </w:r>
      <w:r>
        <w:rPr>
          <w:rFonts w:ascii="Times New Roman" w:eastAsia="Times New Roman" w:hAnsi="Times New Roman" w:cs="Times New Roman"/>
          <w:sz w:val="24"/>
          <w:szCs w:val="24"/>
        </w:rPr>
        <w:t>documentário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 ser tomado como exemplo para trata</w:t>
      </w:r>
      <w:r>
        <w:rPr>
          <w:rFonts w:ascii="Times New Roman" w:eastAsia="Times New Roman" w:hAnsi="Times New Roman" w:cs="Times New Roman"/>
          <w:sz w:val="24"/>
          <w:szCs w:val="24"/>
        </w:rPr>
        <w:t>r como o uso de políticas que incluam a diversidade no ambiente corporativo pode ser um diferencial no desempenho e eficácia das organizações</w:t>
      </w:r>
    </w:p>
    <w:p w14:paraId="455E53C6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trabalho não se limita apenas a um meio de sustento; no ambiente corporativo, competências e habilidades são desenvolvidas, promovendo o crescimento dos funcionários. No entanto, é também nesse espaço que grupos marginalizados frequentemente enfrentam violências relacionadas a seus aspectos sociais e culturais, o que pode resultar em transtornos e doenças psicológicas (Ribeiro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2020).</w:t>
      </w:r>
    </w:p>
    <w:p w14:paraId="4EC09C22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Sousa,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Gallardo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Borges (2021), vivemos atualmente em um cenário de revolução cultural, caracterizado por intensas mudanças na sociedade e, consequentemente, nas empresas e sua composição de recursos humanos. Nesse contexto, adaptar-se à diversidade social no ambiente organizacional torna-se essencial, pois essa adaptação pode trazer melhorias a vários aspectos e setores corporativos (Sousa, 2023).</w:t>
      </w:r>
    </w:p>
    <w:p w14:paraId="4E32AFF3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Embora seja uma questão contemporânea, o problema do desrespeito e discriminação contra grupos marginalizados devido a fatores como idade e orientação sexual ainda é prevalente 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muitas organizações. Nesse sentido, o uso de políticas inclusivas é fundamental para combater o preconceito. No entanto, muitas empresas ainda não se comprometem com prazos e metas específicas para a implementação dessas políticas, e a distância entre a teoria e a prática permanece um desafio (Ribeiro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2020).</w:t>
      </w:r>
    </w:p>
    <w:p w14:paraId="0994D0D3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obstáculos para a inclusão variam conforme o tipo de empresa. Grandes empresas têm maior facilidade em implementar políticas de inclusão em sua cultura organizacional, enquanto pequenas empresas tendem a apresentar mais resistência em adotar tais práticas (Sousa;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Gallardo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Borges, 2021). Em geral, empresas de grande porte possuem uma visão estratégica mais desenvolvida em relação ao uso de recursos humanos, o que permite criar melhores condições de trabalho para seus funcionários e abordar as diferenças socioculturais de forma mais abrangente.</w:t>
      </w:r>
    </w:p>
    <w:p w14:paraId="2D1BF66F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Dantas e Filho (2019) destacam que a diversidade no mercado de trabalho pode aumentar a receita de vendas, gerar maior satisfação no ambiente de trabalho e promover a produtividade. Assim, políticas de inclusão têm impacto positivo nos resultados organizacionais. Entretanto, o preconceito enraizado nas organizações muitas vezes se manifesta de formas sutis e explícitas, com agressões verbais entre diferentes grupos, tanto minoritários quanto não minoritários, relacionadas à diversidade. A falta de efetiva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mplementação das políticas de inclusão por parte dos gestores contribui para a perpetuação dessa dinâmica. Isso faz com que os grupos marginalizados se sintam obrigados a esconder sua identidade para manter o emprego, criando um ciclo vicioso de desrespeito e exclusão. Este ambiente não só prejudica a confiança e o bem-estar dos colaboradores, mas também enfraquece as iniciativas de diversidade e inclusão, comprometendo o desenvolvimento de uma cultura organizacional realmente inclusiva (Saraiva;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Irigaray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2009).</w:t>
      </w:r>
    </w:p>
    <w:p w14:paraId="24C9DA9D" w14:textId="77777777" w:rsidR="00AA794F" w:rsidRDefault="006D6E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integração de políticas que promovem a inclusão de idosos LGBTQIA + pode enriquecer a cultura organizacional e melhorar o desempenho das equipes. A diversidade é frequentemente associada à criatividade, inovação e à exploração de diferentes pontos de vista, o que resulta em vantagem competitiva para as empresas. Apesar dos desafios que surgem ao implementar essas políticas, os benefícios superam as dificuldades, criando um ambiente mais inclusivo e produtivo. Nesse contexto, a gestão eficaz da diversidade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 essencial para resolver conflitos entre grupos diversos e gerenciar as habilidades de forma a maximizar o potencial de cada colaborador (Luz; Alves, 2022).</w:t>
      </w:r>
    </w:p>
    <w:p w14:paraId="6ED48E27" w14:textId="77777777" w:rsidR="00AA794F" w:rsidRDefault="00AA79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E5531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Para a questão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considera-se qu</w:t>
      </w:r>
      <w:r>
        <w:rPr>
          <w:rFonts w:ascii="Times New Roman" w:eastAsia="Times New Roman" w:hAnsi="Times New Roman" w:cs="Times New Roman"/>
          <w:sz w:val="24"/>
          <w:szCs w:val="24"/>
        </w:rPr>
        <w:t>e a crescente visibilidade das pessoas LGBT+ idosas despertou interesse em diversas esferas sociais, incluindo discussões sobre resistência, conquistas de direitos e igualdade (Araújo; Carlos, 2018). Este tema ganha relevância no ambiente organizacional, onde se busca garantir direitos, conscientizar e educar colaboradores para combater preconceitos e discriminação, promovendo inclusão, diversidade e igualdade.</w:t>
      </w:r>
    </w:p>
    <w:p w14:paraId="1CF72FB7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enraizamento de aspectos negativos quanto a velhice e invisibilidade desse grupo dificulta a disseminação do conhecimento a outras pessoas, que passam a conviver com esta ideia sólida baseada nos estereótipos já vinculados a estas pessoas (Salgado et al., 2024). Diante dessa realidade, muitos trabalhadores LGBT preferem ocultar sua orientação sexual no ambiente corporativo para evitar possíveis estigmas. Isso evidencia que a transformação na cultura organizacional não pode se limitar à contratação de um 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uadro diverso, mas deve ser acompanhada por políticas inclusivas que promovam a conscientização sobre respeito e ética em relação à diversidade social e cultural no ambiente de trabalho (Drummond;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Versiani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2022).  </w:t>
      </w:r>
    </w:p>
    <w:p w14:paraId="51EE3D25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relação à contratação e permanência de funcionários mais velhos, Silva, Oliva e Romeiro (2022) apontam a ausência de políticas e práticas de inclusão voltadas para idosos nas organizações, o que contribui para um ambiente de trabalho insatisfatório e muitas vezes excludente. Os autores destacam, ainda, a importância do papel do gestor nesse contexto, enfatizando que ele deve ser um motivador de políticas e práticas que integrem pessoas mais velhas no ambiente corporativo. Além disso, os gestores precisam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estar atentos às necessidades específicas desse grupo, promovendo uma cultura organizacional que valorize e aproveite a experiência e o conhecimento dos trabalhadores mais idosos, garantindo sua inclusão e bem-estar</w:t>
      </w:r>
    </w:p>
    <w:p w14:paraId="3BACA117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Brasil, a diversidade no ambiente de trabalho apresenta desafios significativos. A inclusão de diferentes aspectos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sócio-culturais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 equipes pode gerar conflitos entre os grupos, dificultando a colaboração devido a valores, crenças e perspectivas divergentes. Além disso, a comunicação tende a ser menos fluida, pois as barreiras culturais e linguísticas podem impactar a troca de informações. A gestão se torna ainda mais complexa ao lidar com a diversidade de ideias, gêneros, sexualidade e idades, exigindo que a liderança promova um ambiente inclusivo e respeitoso para que todos possam contribuir de maneira plena, sem q</w:t>
      </w:r>
      <w:r>
        <w:rPr>
          <w:rFonts w:ascii="Times New Roman" w:eastAsia="Times New Roman" w:hAnsi="Times New Roman" w:cs="Times New Roman"/>
          <w:sz w:val="24"/>
          <w:szCs w:val="24"/>
        </w:rPr>
        <w:t>ue as diferenças se tornem fontes de tensões (Cardoso; Gomes; Pederneira, 2023).</w:t>
      </w:r>
    </w:p>
    <w:p w14:paraId="68ACB15D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Visto que a diversidade é um elemento inevitável, cabe às empresas disponibilizar ambientes inclusivos que respeitem as diferenças dos colaboradores. Além disso, os gestores devem adotar políticas e práticas que sensibilizem a compreensão e a conscientização, com o objetivo de reduzir discriminações e preconceitos relacionados a pessoas idosas e à comunidade LGBTQ+, que ainda precisam conquistar mais espaço no ambiente corporativo. Isso garantirá a diversificação das equipes, gerando valor agregado aos serv</w:t>
      </w:r>
      <w:r>
        <w:rPr>
          <w:rFonts w:ascii="Times New Roman" w:eastAsia="Times New Roman" w:hAnsi="Times New Roman" w:cs="Times New Roman"/>
          <w:sz w:val="24"/>
          <w:szCs w:val="24"/>
        </w:rPr>
        <w:t>iços e produtos, além de promover maior eficiência e inovação nos ambientes empresariais (Cardoso; Gomes; Pederneira, 2023).</w:t>
      </w:r>
    </w:p>
    <w:p w14:paraId="441D3DF6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EE5E7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69918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4DCC272D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7D41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ARAÚJO, L. F.; CARLOS, K. P. T. Sexualidade na velhice: um estudo sobre o envelhecimento LGBT.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Psicología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Montevideo, v. 8, n. 1, p. 218-237, 2018. Disponível em: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https://revista.psico.edu.uy/index.php/revpsicologia/article/view/447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4 dez. 2024.</w:t>
      </w:r>
    </w:p>
    <w:p w14:paraId="43617CE2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0B8DB" w14:textId="77777777" w:rsidR="00AA794F" w:rsidRDefault="006D6E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AZEVEDO, P. "Fazendo a linha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cdzinha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": performance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transidentitária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crossdressers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brasileiras em Lisboa/PT. Equatorial – Revista do Programa de Pós-Graduação em Antropologia Social,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[S. l.]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v. 7, n. 12, p. 1–28, 2020. DOI: 10.21680/2446-5674.2020v7n12ID18510. Disponível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https://periodicos.ufrn.br/equatorial/article/view/18510.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Acesso em: 29 nov. 2024.</w:t>
      </w:r>
    </w:p>
    <w:p w14:paraId="4CC0595D" w14:textId="77777777" w:rsidR="00AA794F" w:rsidRDefault="00AA79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A311A48" w14:textId="77777777" w:rsidR="00AA794F" w:rsidRDefault="006D6E46">
      <w:pP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BARBOSA, T. M. S.; MELO, A. L. A.; LOPES, A. C.; DIAS, A. P.; SÁ, A. S. de; GUIMARAES, D. M. C. de S.; BOHNENBERGER, G.; OLIVEIRA, L. C. de; LOPES, R. de S.; NOGUEIRA, V. R.; SANTOS , Y. F. dos. Impacto da aceitação social na saúde mental e bem-estar da população LGBT.  </w:t>
      </w:r>
      <w:proofErr w:type="spellStart"/>
      <w:r>
        <w:rPr>
          <w:highlight w:val="white"/>
        </w:rPr>
        <w:t>Brazilian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Journal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of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Implantology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and</w:t>
      </w:r>
      <w:proofErr w:type="spellEnd"/>
      <w:r>
        <w:rPr>
          <w:highlight w:val="white"/>
        </w:rPr>
        <w:t xml:space="preserve"> Health </w:t>
      </w:r>
      <w:proofErr w:type="spellStart"/>
      <w:r>
        <w:rPr>
          <w:highlight w:val="white"/>
        </w:rPr>
        <w:t>Sciences</w:t>
      </w:r>
      <w:proofErr w:type="spellEnd"/>
      <w:r>
        <w:rPr>
          <w:highlight w:val="white"/>
        </w:rPr>
        <w:t xml:space="preserve"> , </w:t>
      </w:r>
      <w:r>
        <w:rPr>
          <w:i/>
          <w:highlight w:val="white"/>
        </w:rPr>
        <w:t>[S. l.]</w:t>
      </w:r>
      <w:r>
        <w:rPr>
          <w:highlight w:val="white"/>
        </w:rPr>
        <w:t xml:space="preserve">, v. 6, n. 5, p. 1356–1366, 2024. DOI: 10.36557/2674-8169.2024v6n5p1356-1366. Disponível em: </w:t>
      </w:r>
      <w:hyperlink r:id="rId10">
        <w:r>
          <w:rPr>
            <w:color w:val="1155CC"/>
            <w:highlight w:val="white"/>
            <w:u w:val="single"/>
          </w:rPr>
          <w:t>https://bjihs.emnuvens.com.br/bjihs/article/view/2155.</w:t>
        </w:r>
      </w:hyperlink>
      <w:r>
        <w:rPr>
          <w:highlight w:val="white"/>
        </w:rPr>
        <w:t xml:space="preserve"> Acesso em: 4 dez. 2024.</w:t>
      </w:r>
    </w:p>
    <w:p w14:paraId="18C9F94D" w14:textId="77777777" w:rsidR="00AA794F" w:rsidRDefault="00AA794F">
      <w:pPr>
        <w:spacing w:line="240" w:lineRule="auto"/>
        <w:jc w:val="both"/>
        <w:rPr>
          <w:highlight w:val="white"/>
        </w:rPr>
      </w:pPr>
    </w:p>
    <w:p w14:paraId="176DBAD8" w14:textId="77777777" w:rsidR="00AA794F" w:rsidRDefault="006D6E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BEZERRA, F. W. C.; LIMA, D. F.; OLIVEIRA, F. P. de; LEMOS, P. B. S.; MUNIZ, C. A.; PAIVA, R. F. de.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management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brief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bibliographic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review.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Society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[S. l.]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v. 11, n. 11, p. e428111133610, 2022. DOI: 10.33448/rsd-v11i11.33610. Disponível em: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https://rsdjournal.org/index.php/rsd/article/view/33610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Acesso em: 4 dec. 2024.</w:t>
      </w:r>
    </w:p>
    <w:p w14:paraId="67A5A8F6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FE3EB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Conselho Federal de Medicina. Resolução CFM nº 1.955, de 10 de maio de 2010. Aprova as normas para realização de cirurgia de transgenitalização e procedimentos correlatos, no âmbito do Sistema Único de Saúde - SUS. Diário Oficial da União, Brasília, DF, 13 maio 2010. Disponível em: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https://sistemas.cfm.org.br/normas/arquivos/resolucoes/BR/2010/1955_2010.pdf.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30 nov. 2024.</w:t>
      </w:r>
    </w:p>
    <w:p w14:paraId="68E7A68E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D7CE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Constituição (1988). Constituição da República Federativa do Brasil de 1988. Brasília, DF: Senado Federal, 1988. Disponível em: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&lt;https://www.planalto.gov.br/ccivil_03/constituicao/constituicao.htm&gt;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1 dez. 2024.</w:t>
      </w:r>
    </w:p>
    <w:p w14:paraId="46DDE2FE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9F6C6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Lei nº 14.423, de 22 de julho de 2022. Altera a Lei nº 10.741, de 1º de outubro de 2003 (Estatuto do Idoso), para priorizar o atendimento de pessoas idosas vítimas de violência. Diário Oficial da União: seção 1, Brasília, DF, p. 1, 25 jul. 2022. Disponível em: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https://www.planalto.gov.br/ccivil_03/_ato2022-2026/2022/lei/L14423.htm.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18 nov. 2024.</w:t>
      </w:r>
    </w:p>
    <w:p w14:paraId="1B5CF53B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8901B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CARDOSO, S. K. A. B. .; GOMES, F. N. .; PEDERNEIRAS, M. M. M. . Liderança e diversidade cultural: a influência dos líderes na promoção de uma cultura organizacional inclusiva. REVISTA FOCO,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[S. l.]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v. 16, n. 5, p. e1746, 2023. DOI: 10.54751/revistafoco.v16n5-015. Disponível em: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https://ojs.focopublicacoes.com.br/foco/article/view/1746.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Acesso em: 5 dez. 2024.</w:t>
      </w:r>
    </w:p>
    <w:p w14:paraId="0CFD341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395B1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CEPELLOS, Vanessa Martines. Envelhecimento nas organizações: os grandes debates sobre o tema nos estudos de administração de empresas. Teoria e Prática em Administração, v. 8, n. 1, 2018, p. 138–159. Disponível em:</w:t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https://doi.org/10.21714/2238-104x2018v8i1-37614.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19 out. 2024.</w:t>
      </w:r>
    </w:p>
    <w:p w14:paraId="32528A82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86396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CHEFER, Lucas Bernardes; LIMA, Mônica de Souza. A inclusão do grupo LGBTQIA + nas corporações.  Revista Ibero-Americana de Humanidades, Ciências e Educação, [S. l.], v. 9, n. 6, p. 818–833, 2023. DOI: 10.51891/rease.v9i6.10297. Disponível em: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https://periodicorease.pro.br/rease/article/view/10297.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4 dez. 2024.</w:t>
      </w:r>
    </w:p>
    <w:p w14:paraId="28313A79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D0AA7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COELHO, Gilson Gomes; DESIDÉRIO,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Plábio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Marcos Martins; ROCHA,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Pereira. Afinal, o que é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 Revista Brasileira de Sexualidade Humana, [S. l.], v. 34, p. 1115 , 2023. DOI: 10.35919/rbsh.v34.1115. Disponível em: </w:t>
      </w: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https://www.rbsh.org.br/revista_sbrash/article/view/1115.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1 dez. 2024.</w:t>
      </w:r>
    </w:p>
    <w:p w14:paraId="3AAE6237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A9EA3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CORRÊA, Marli das Graças; COSTA, Denise Gisele Silva. A discriminação no recrutamento e seleção das organizações. Revista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EduFatec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educação, tecnologia e gestão, v. 2, n. 5, p. 138–157, 2022. Disponível em: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https://revistaedufatec.fatecfranca.edu.br/n05v2/.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22 out. 2024.</w:t>
      </w:r>
    </w:p>
    <w:p w14:paraId="7FA4B811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650B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COSTA E SILVA, T. F. DA; EDUARDO DE CAMARGO OLIVA; MARIA DO CARMO ROMEIRO.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Envelhevimento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ageismo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gestão organizacional: a interface revelada a partir de três revisões da literatura. Revista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Inclusiones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v. 10, n. 1, p. 147-168, 29 dez. 2022. Acesso em: 4 dez. 2024.</w:t>
      </w:r>
    </w:p>
    <w:p w14:paraId="57C490DE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67AA1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CRENITTE, Milton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MIGUEL, Diego Felix; JACOB FILHO, Wilson. Abordagem das particularidades da velhice de lésbicas, gays, bissexuais e transgêneros.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Geriatrics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Gerontology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 13, n. 1, p. 50-56, 2019. Disponível em: </w:t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https://www.ggaging.com/details/515/pt-BR/abordagem-das-particularidades-da-velhice-de-lesbicas--gays--bissexuais-e-transgeneros.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4 dez. 2024.</w:t>
      </w:r>
    </w:p>
    <w:p w14:paraId="4CCB2E21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5984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CUNHA,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Fellipe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Lira; DE OLIVEIRA VIEIRA, Fernando; DE OLIVEIRA, Lorena Esteves. Assédio moral no trabalho: uma análise das causas e consequências do fenômeno de acordo com artigos indexados na base CAPES e no site ABET entre 2009 e 2019. Estudos de Administração e Sociedade, v. 6, n. 1, p. 08-19, 2021. Acesso: 4 dez. 2024.</w:t>
      </w:r>
    </w:p>
    <w:p w14:paraId="36A0CCE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11786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Dantas, João Victor Diógenes;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Antoniel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Santos Gomes Filho. “Diversidade de Gênero No Mercado de Trabalho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Labor Market.” 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Revista de Psicologia, vol. 13, no. 48, 30 Dec. 2019, pp. 26–39, </w:t>
      </w: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https://doi.org/10.14295/idonline.v13i48.2234.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29 out.2024.</w:t>
      </w:r>
    </w:p>
    <w:p w14:paraId="43506192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BFB79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DRUMMOND, M.; VERSIANI, F. A interferência dos estigmas na inclusão da diversidade sexual no trabalho: o olhar de profissionais homossexuais. /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stigmas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perspective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homossexual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professionals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Revista Visão: Gestão Organizacional, Caçador (SC), Brasil, v. 11, n. 2, p. 194–212, 2022. DOI: 10.33362/visao.v11i2.2953. Disponível em: https://periodicos.uniarp.edu.br/index.php/visao/article/view/2953. Acesso em: 4 dez. 2024.</w:t>
      </w:r>
    </w:p>
    <w:p w14:paraId="2FAB3E3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E2449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FERREIRA SOUZA, W. V.; FELICIANO, C. A. Mapeamento dos crimes de ódio contra LGBT: uma leitura socioespacial da violência entre os anos de 2017 e 2018. Geografia em Atos (Online), Presidente Prudente, v. 1, n. 16, p. 121–140, 2020. DOI: 10.35416/geoatos.v1i16.7283. Disponível em: </w:t>
      </w: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https://revista.fct.unesp.br/index.php/geografiaematos/article/view/7283.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18 nov. 2024.</w:t>
      </w:r>
    </w:p>
    <w:p w14:paraId="1D42E4BB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D961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GOMES, José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Cleudo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ZENAIDE, Maria de Nazaré Tavares. A trajetória do movimento social pelo reconhecimento da cidadania LGBT. Tear: Revista de Educação, Ciência e Tecnologia, Canoas, v. 8, n. 1, 2019. DOI: 10.35819/tear.v8.n1.a3402. Disponível em: </w:t>
      </w: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https://periodicos.ifrs.edu.br/index.php/tear/article/view/3402.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4 dez. 2024.</w:t>
      </w:r>
    </w:p>
    <w:p w14:paraId="7D8437D0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E14A2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Joandson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Santos; DA COSTA,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Elvio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Carlos. OS DESAFIOS DA GESTÃO DA DIVERSIDADE NAS ORGANIZAÇÕES. Revista Interface Tecnológica, v. 19, n. 2, p. 418-430, 2022. Acesso: 4 dez. 2024.</w:t>
      </w:r>
    </w:p>
    <w:p w14:paraId="384A5E3F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E7719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JULIANI, Rafael Paulino; SCOPINHO, Rosemeire Aparecida. Os lugares do diferente no trabalho contemporâneo: trajetórias de pessoas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Cadernos de Psicologia Social do Trabalho, [S. l.], v. 23, n. 1, p. 65–78, 2020. DOI: 10.11606/issn.1981-0490.v23i1p65-78. Disponível em: </w:t>
      </w: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https://www.revistas.usp.br/cpst/article/view/163822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19 out. 2024.</w:t>
      </w:r>
    </w:p>
    <w:p w14:paraId="7DFBB63F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B899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JUSBRASIL. Projeto de Lei 5002/2013. Disponível em: </w:t>
      </w:r>
      <w:hyperlink r:id="rId2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https://www.jusbrasil.com.br/artigos/busca?q=projeto+de+lei+5002%2F2013.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Acesso em: 30 nov. 2024.</w:t>
      </w:r>
    </w:p>
    <w:p w14:paraId="502B6078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0AEE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HAN, Darcy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Mori; PEREIRA, Marie Françoise Marguerite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Martins.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local de trabalho: evidências de práticas de “saneamento” de trabalhadores mais velhos. Revista Gestão Organizacional, v. 13, n. 2, p. 188-206, 2020. Acesso em: 1 dez. 2024.</w:t>
      </w:r>
    </w:p>
    <w:p w14:paraId="1FE32040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8F789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LANDO, G. A.; SANTOS, J. C. M. dos; D’ANGELO, I. B. de M.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LGBT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professionals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difficult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Society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[S. l.], v. 9, n. 4, p. e138942982, 2020. DOI: 10.33448/rsd-v9i4.2982. Disponível em: </w:t>
      </w:r>
      <w:hyperlink r:id="rId2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https://rsdjournal.org/index.php/rsd/article/view/2982.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Acesso em: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2024.</w:t>
      </w:r>
    </w:p>
    <w:p w14:paraId="5B1D3D20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EE638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LUZ , V. C.; ALVES , M. F.  A gestão da diversidade e inclusão e seus benefícios para as empresas.  REVISTA FOCO, [S. l.], v. 16, n. 1, p. e731, 2023. DOI: 10.54751/revistafoco.v16n1-036. Disponível em: https://ojs.focopublicacoes.com.br/foco/article/view/731. Acesso em: 5 dez. 2024.</w:t>
      </w:r>
    </w:p>
    <w:p w14:paraId="3592B3E8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CA2A6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MATTOS, Clarisse. ETARISMO EM PERSPECTIVA: UMA PROPOSTA DE REFLEXÃO A PARTIR DE CONTOS LITERÁRIOS. Verbum, v. 13, n. 2, p. 210-220, 2024. Acesso em: 1 dez. 2024.</w:t>
      </w:r>
    </w:p>
    <w:p w14:paraId="77C88C33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76ED2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OLIVEIRA SANTOS, José Victor; DE ARAÚJO,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Ludgleydson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Fernandes; NEGREIROS,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Fauston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Atitudes e estereótipos em relação à velhice LGBT. Interdisciplinar: Revista de Estudos em Língua e Literatura, v. 29, 2018. Disponível em: </w:t>
      </w:r>
      <w:hyperlink r:id="rId2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https://www.periodicos.ufpb.br/index.php/interdisciplinar/article/view/37187.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30 nov. 2024.</w:t>
      </w:r>
    </w:p>
    <w:p w14:paraId="0F235685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AD2D4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PARANHOS, W. “Não posso ser pela metade”: grupos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minorizados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 senso de pertencimento às organizações. Revista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Periódicus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[S. l.], v. 2, n. 19, p. 20–48, 2023. DOI: 10.9771/peri.v2i19.49627. Disponível em: https://periodicos.ufba.br/index.php/revistaperiodicus/article/view/49627. Acesso em: 4 dez. 2024.</w:t>
      </w:r>
    </w:p>
    <w:p w14:paraId="6F36F6CA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6932D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PEREIRA, Raquel Luciana de Aquino Faria. Direitos humanos e fundamentais: a inclusão da comunidade LGBT. Revista Científica Multidisciplinar Núcleo do Conhecimento, v. 4, p. 24-37, 2019. Acesso em: 1  dez. 2024.</w:t>
      </w:r>
    </w:p>
    <w:p w14:paraId="5368FF7C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E2597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PEIXOTO, V. B. Violência contra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Brasil: premissas históricas da violação no Brasil. Revista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Periódicus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[S. l.], v. 1, n. 10, p. 7–23, 2018. DOI: 10.9771/peri.v1i10.28014. Disponível em: </w:t>
      </w:r>
      <w:hyperlink r:id="rId2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https://periodicos.ufba.br/index.php/revistaperiodicus/article/view/28014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18 nov. 2024.</w:t>
      </w:r>
    </w:p>
    <w:p w14:paraId="6595011F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8F86D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PIRES, Thais da Silva et al. Opinião de gestores sobre trabalhadores mais velhos no contexto organizacional.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Society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 10, n. 3, p. e16410313114, 2021. Disponível em: </w:t>
      </w:r>
      <w:hyperlink r:id="rId2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https://doi.org/10.33448/rsd-v10i3.13114.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4 dez. 2024.</w:t>
      </w:r>
    </w:p>
    <w:p w14:paraId="103F323C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6E9F5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RIBEIRO, L. P.; ZANIN, H. da S.; SILVA, I. P. da; DIAS, A. F.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policies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minorities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Society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[S. l.], v. 9, n. 1, p. e176911894, 2020. DOI: 10.33448/rsd-v9i1.1894. Disponível em: </w:t>
      </w:r>
      <w:hyperlink r:id="rId3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https://rsdjournal.org/index.php/rsd/article/view/1894.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2024.</w:t>
      </w:r>
    </w:p>
    <w:p w14:paraId="63FA44C0" w14:textId="77777777" w:rsidR="00AA794F" w:rsidRDefault="00AA7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C7768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SALGADO, A. G. A. T. et al . Velhice LGBT: uma análise das representações sociais entre idosos brasileiros. Cienc. Psicol.,  Montevideo ,  v. 11, n. 2, p. 155-163,  nov.  2017 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Disponible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&lt;http://www.scielo.edu.uy/scielo.php?script=sci_arttext&amp;pid=S1688-42212017000200155&amp;lng=es&amp;nrm=iso&gt;.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04  dic.  2024.  </w:t>
      </w:r>
      <w:hyperlink r:id="rId3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https://doi.org/10.22235/cp.v11i2.1487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ED9BB6" w14:textId="77777777" w:rsidR="00AA794F" w:rsidRDefault="00AA7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B612B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SARAIVA, Luiz Alex Silva; IRIGARAY, Hélio Arthur dos Reis. Políticas de diversidade nas organizações: uma questão de discurso?. Revista de Administração de Empresas, v. 49, p. 337-348, 2009.</w:t>
      </w:r>
    </w:p>
    <w:p w14:paraId="794B9678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8705A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Thales Fabrício da Costa e et al. Além das equipes intergeracionais: possibilidades de estudos sobre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Revista Eletrônica de Administração, Porto Alegre, v. 27, n. 2, p. 642–662, ago. 2021. Disponível em: </w:t>
      </w:r>
      <w:hyperlink r:id="rId3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https://doi.org/10.1590/1413-2311.327.101822.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22 out. 2024.</w:t>
      </w:r>
    </w:p>
    <w:p w14:paraId="015B2928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68BB2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SILVA, T.; LIMA, S. S. de E. .; LEITE, K. de O. .; SILVA, C. R. D. T.; CARVALHO, K. M. de .; DE MOURA SÁ, G. G.; PEREIRA, J. de C. N. . AGEISMO E ESTEREÓTIPOS DO ENVELHECIMENTO . Revista Enfermagem Atual In Derme,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[S. l.]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v. 98, n. 1, p. e024274, 2024. DOI: 10.31011/reaid-2024-v.98-n.1-art.2117. Disponível em: </w:t>
      </w:r>
      <w:hyperlink r:id="rId3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https://mail.revistaenfermagematual.com.br/index.php/revista/article/view/2117.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Acesso em: 4 dez. 2024.</w:t>
      </w:r>
    </w:p>
    <w:p w14:paraId="2A69ECEE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32D75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SOARES, R. A. S. Memórias de resistências e violências: a população LGBT na ditadura cívico-militar brasileira.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Cuadernos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Desarrollo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[S. l.], v. 16, n. 5, p. e4129, 2024. DOI: 10.55905/cuadv16n5-012. Disponível em: </w:t>
      </w:r>
      <w:hyperlink r:id="rId3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https://ojs.cuadernoseducacion.com/ojs/index.php/ced/article/view/4129.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3 dez. 2024.</w:t>
      </w:r>
    </w:p>
    <w:p w14:paraId="40E3AC2C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0DADD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SOLIVA, Thiago Barcelos. Sobre afetos e resistências: uma análise da trajetória da Turma OK (Rio de Janeiro, Brasil).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Rio de Janeiro, n. 31, p. 57-80, 2019. Acesso em: 30 nov. 2024.</w:t>
      </w:r>
    </w:p>
    <w:p w14:paraId="2DE94A0C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A6847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SOUSA, FLN; GALLARDO, NP; BORGES, AM Políticas inclusivas nas organizações atuais: uma revisão de literatura integrativa / Políticas inclusivas nas organizações atuais: uma revisão integrativa da literatura. Revista Brasileira de Desenvolvimento , [S. l.] , v. 5, pág. 44965–44984, 2021. DOI: 10.34117/bjdv.v7i5.29343. Disponível em: </w:t>
      </w:r>
      <w:hyperlink r:id="rId3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https://ojs.brazilianjournals.com.br/ojs/index.php/BRJD/article/view/29343.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26 out. 2024.</w:t>
      </w:r>
    </w:p>
    <w:p w14:paraId="150F554C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7EE7F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SOUSA, F. L. N. POLÍTICAS INCLUSIVAS NAS ORGANIZAÇÕES. NAU Social, [S. l.], v. 13, n. 25, p. 1208 –, 2023. DOI: 10.9771/ns.v13i25.38658. Disponível em: </w:t>
      </w:r>
      <w:hyperlink r:id="rId3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https://periodicos.ufba.br/index.php/nausocial/article/view/38658.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19 out. 2024.</w:t>
      </w:r>
    </w:p>
    <w:p w14:paraId="4A954638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3A224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SOUZA, Daniel Cerdeira; COELHO, Ingrid Mesquita; HONORATO, Eduardo Jorge Sant'Ana. Adoção por casais homossexuais: revisão integrativa. Nova Perspectiva Sistêmica, v. 31, n. 73, p. 74-92, 2022. Acesso em: 30 de nov. 2024.</w:t>
      </w:r>
    </w:p>
    <w:p w14:paraId="15602A14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B036E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TAGLIAMENTO, G.; SILVA, S. S. C. da; SILVA, D. B. da; MARQUES, G. de S.; HASSON, R.; SANTOS, G. E. dos. Minha dor vem de você: uma análise das consequências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saúde mental de pessoas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Cadernos de Gênero e Diversidade, [S. l.], v. 6, n. 3, p. 77–112, 2021. DOI: 10.9771/cgd.v6i3.34558. Disponível em: </w:t>
      </w:r>
      <w:hyperlink r:id="rId3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https://periodicos.ufba.br/index.php/cadgendiv/article/view/34558.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Acesso em: 4 dez. 2024.</w:t>
      </w:r>
    </w:p>
    <w:p w14:paraId="63FF5558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A0E9F" w14:textId="77777777" w:rsidR="00AA794F" w:rsidRDefault="006D6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TEISCHMANN, K. História do movimento LGBT no Brasil. Revista Brasileira de Estudos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Homocultura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[S. l.], v. 3, n. 12, p. 220–226, 2021. DOI: 10.31560/2595-3206.2020.12.11686. Disponível em: </w:t>
      </w:r>
      <w:hyperlink r:id="rId3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https://periodicoscientificos.ufmt.br/ojs/index.php/rebeh/article/view/11686.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4 dez. 2024.</w:t>
      </w:r>
    </w:p>
    <w:p w14:paraId="468FDB0E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37424" w14:textId="77777777" w:rsidR="00AA794F" w:rsidRDefault="006D6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TRINDADE, D. H.; MOURA, M. A. P. de; LEONE, E. L. Impactos da diversidade na gestão das organizações: breve e necessária revisão bibliográfica. Revista Acadêmica Online, v. 10, n. 51, p. 1–10, 2024. Disponível em: </w:t>
      </w:r>
      <w:hyperlink r:id="rId3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https://www.revistaacademicaonline.com/index.php/rao/article/view/178.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22 out. 2024.</w:t>
      </w:r>
    </w:p>
    <w:p w14:paraId="261B4A91" w14:textId="77777777" w:rsidR="00AA794F" w:rsidRDefault="00A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A794F">
      <w:headerReference w:type="default" r:id="rId40"/>
      <w:footerReference w:type="default" r:id="rId41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CF718" w14:textId="77777777" w:rsidR="006D6E46" w:rsidRDefault="006D6E46">
      <w:pPr>
        <w:spacing w:line="240" w:lineRule="auto"/>
      </w:pPr>
      <w:r>
        <w:separator/>
      </w:r>
    </w:p>
  </w:endnote>
  <w:endnote w:type="continuationSeparator" w:id="0">
    <w:p w14:paraId="21D6A328" w14:textId="77777777" w:rsidR="006D6E46" w:rsidRDefault="006D6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E3107" w14:textId="77777777" w:rsidR="00AA794F" w:rsidRDefault="00AA794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D47EB" w14:textId="77777777" w:rsidR="006D6E46" w:rsidRDefault="006D6E46">
      <w:pPr>
        <w:spacing w:line="240" w:lineRule="auto"/>
      </w:pPr>
      <w:r>
        <w:separator/>
      </w:r>
    </w:p>
  </w:footnote>
  <w:footnote w:type="continuationSeparator" w:id="0">
    <w:p w14:paraId="322B4045" w14:textId="77777777" w:rsidR="006D6E46" w:rsidRDefault="006D6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2F53A" w14:textId="77777777" w:rsidR="00AA794F" w:rsidRDefault="00AA794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3A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720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4F"/>
    <w:rsid w:val="006D6E46"/>
    <w:rsid w:val="00A16908"/>
    <w:rsid w:val="00AA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80E1E"/>
  <w15:docId w15:val="{C131D1F9-4DAD-A44E-99A9-E326A480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D7"/>
  </w:style>
  <w:style w:type="paragraph" w:styleId="Ttulo1">
    <w:name w:val="heading 1"/>
    <w:basedOn w:val="Normal1"/>
    <w:next w:val="Normal1"/>
    <w:uiPriority w:val="9"/>
    <w:qFormat/>
    <w:rsid w:val="005314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5314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5314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5314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5314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5314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53141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31415"/>
  </w:style>
  <w:style w:type="table" w:customStyle="1" w:styleId="TableNormal3">
    <w:name w:val="Table Normal"/>
    <w:rsid w:val="005314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5314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B7A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7A09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368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68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68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68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68E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F322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B63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1438"/>
    <w:rPr>
      <w:color w:val="605E5C"/>
      <w:shd w:val="clear" w:color="auto" w:fill="E1DFDD"/>
    </w:r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A4165F"/>
    <w:pPr>
      <w:spacing w:line="240" w:lineRule="auto"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.psico.edu.uy/index.php/revpsicologia/article/view/447" TargetMode="External" /><Relationship Id="rId13" Type="http://schemas.openxmlformats.org/officeDocument/2006/relationships/hyperlink" Target="https://www.planalto.gov.br/ccivil_03/constituicao/constituicao.htm" TargetMode="External" /><Relationship Id="rId18" Type="http://schemas.openxmlformats.org/officeDocument/2006/relationships/hyperlink" Target="https://www.rbsh.org.br/revista_sbrash/article/view/1115" TargetMode="External" /><Relationship Id="rId26" Type="http://schemas.openxmlformats.org/officeDocument/2006/relationships/hyperlink" Target="https://rsdjournal.org/index.php/rsd/article/view/2982" TargetMode="External" /><Relationship Id="rId39" Type="http://schemas.openxmlformats.org/officeDocument/2006/relationships/hyperlink" Target="https://www.revistaacademicaonline.com/index.php/rao/article/view/178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doi.org/10.14295/idonline.v13i48.2234" TargetMode="External" /><Relationship Id="rId34" Type="http://schemas.openxmlformats.org/officeDocument/2006/relationships/hyperlink" Target="https://ojs.cuadernoseducacion.com/ojs/index.php/ced/article/view/4129" TargetMode="External" /><Relationship Id="rId42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sistemas.cfm.org.br/normas/arquivos/resolucoes/BR/2010/1955_2010.pdf" TargetMode="External" /><Relationship Id="rId17" Type="http://schemas.openxmlformats.org/officeDocument/2006/relationships/hyperlink" Target="https://periodicorease.pro.br/rease/article/view/10297" TargetMode="External" /><Relationship Id="rId25" Type="http://schemas.openxmlformats.org/officeDocument/2006/relationships/hyperlink" Target="https://www.jusbrasil.com.br/artigos/busca?q=projeto+de+lei+5002%2F2013" TargetMode="External" /><Relationship Id="rId33" Type="http://schemas.openxmlformats.org/officeDocument/2006/relationships/hyperlink" Target="https://mail.revistaenfermagematual.com.br/index.php/revista/article/view/2117" TargetMode="External" /><Relationship Id="rId38" Type="http://schemas.openxmlformats.org/officeDocument/2006/relationships/hyperlink" Target="https://periodicoscientificos.ufmt.br/ojs/index.php/rebeh/article/view/11686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doi.org/10.21714/2238-104x2018v8i1-37614" TargetMode="External" /><Relationship Id="rId20" Type="http://schemas.openxmlformats.org/officeDocument/2006/relationships/hyperlink" Target="https://www.ggaging.com/details/515/pt-BR/abordagem-das-particularidades-da-velhice-de-lesbicas--gays--bissexuais-e-transgeneros" TargetMode="External" /><Relationship Id="rId29" Type="http://schemas.openxmlformats.org/officeDocument/2006/relationships/hyperlink" Target="https://doi.org/10.33448/rsd-v10i3.13114" TargetMode="External" /><Relationship Id="rId41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rsdjournal.org/index.php/rsd/article/view/33610" TargetMode="External" /><Relationship Id="rId24" Type="http://schemas.openxmlformats.org/officeDocument/2006/relationships/hyperlink" Target="https://www.revistas.usp.br/cpst/article/view/163822" TargetMode="External" /><Relationship Id="rId32" Type="http://schemas.openxmlformats.org/officeDocument/2006/relationships/hyperlink" Target="https://doi.org/10.1590/1413-2311.327.101822" TargetMode="External" /><Relationship Id="rId37" Type="http://schemas.openxmlformats.org/officeDocument/2006/relationships/hyperlink" Target="https://periodicos.ufba.br/index.php/cadgendiv/article/view/34558" TargetMode="External" /><Relationship Id="rId40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yperlink" Target="https://ojs.focopublicacoes.com.br/foco/article/view/1746" TargetMode="External" /><Relationship Id="rId23" Type="http://schemas.openxmlformats.org/officeDocument/2006/relationships/hyperlink" Target="https://periodicos.ifrs.edu.br/index.php/tear/article/view/3402" TargetMode="External" /><Relationship Id="rId28" Type="http://schemas.openxmlformats.org/officeDocument/2006/relationships/hyperlink" Target="https://periodicos.ufba.br/index.php/revistaperiodicus/article/view/28014" TargetMode="External" /><Relationship Id="rId36" Type="http://schemas.openxmlformats.org/officeDocument/2006/relationships/hyperlink" Target="https://periodicos.ufba.br/index.php/nausocial/article/view/38658" TargetMode="External" /><Relationship Id="rId10" Type="http://schemas.openxmlformats.org/officeDocument/2006/relationships/hyperlink" Target="https://bjihs.emnuvens.com.br/bjihs/article/view/2155" TargetMode="External" /><Relationship Id="rId19" Type="http://schemas.openxmlformats.org/officeDocument/2006/relationships/hyperlink" Target="https://revistaedufatec.fatecfranca.edu.br/n05v2/" TargetMode="External" /><Relationship Id="rId31" Type="http://schemas.openxmlformats.org/officeDocument/2006/relationships/hyperlink" Target="https://doi.org/10.22235/cp.v11i2.1487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periodicos.ufrn.br/equatorial/article/view/18510" TargetMode="External" /><Relationship Id="rId14" Type="http://schemas.openxmlformats.org/officeDocument/2006/relationships/hyperlink" Target="https://www.planalto.gov.br/ccivil_03/_ato2022-2026/2022/lei/L14423.htm" TargetMode="External" /><Relationship Id="rId22" Type="http://schemas.openxmlformats.org/officeDocument/2006/relationships/hyperlink" Target="https://revista.fct.unesp.br/index.php/geografiaematos/article/view/7283" TargetMode="External" /><Relationship Id="rId27" Type="http://schemas.openxmlformats.org/officeDocument/2006/relationships/hyperlink" Target="https://www.periodicos.ufpb.br/index.php/interdisciplinar/article/view/37187" TargetMode="External" /><Relationship Id="rId30" Type="http://schemas.openxmlformats.org/officeDocument/2006/relationships/hyperlink" Target="https://rsdjournal.org/index.php/rsd/article/view/1894" TargetMode="External" /><Relationship Id="rId35" Type="http://schemas.openxmlformats.org/officeDocument/2006/relationships/hyperlink" Target="https://ojs.brazilianjournals.com.br/ojs/index.php/BRJD/article/view/29343" TargetMode="External" /><Relationship Id="rId4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UpIbgxCSDZlTRg2fdKAEKSMB9Q==">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7580</Words>
  <Characters>40933</Characters>
  <Application>Microsoft Office Word</Application>
  <DocSecurity>0</DocSecurity>
  <Lines>341</Lines>
  <Paragraphs>96</Paragraphs>
  <ScaleCrop>false</ScaleCrop>
  <Company/>
  <LinksUpToDate>false</LinksUpToDate>
  <CharactersWithSpaces>48417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Pires</dc:creator>
  <cp:lastModifiedBy>manuaazevedo27@gmail.com</cp:lastModifiedBy>
  <cp:revision>2</cp:revision>
  <dcterms:created xsi:type="dcterms:W3CDTF">2024-12-18T13:37:00Z</dcterms:created>
  <dcterms:modified xsi:type="dcterms:W3CDTF">2024-12-18T13:37:00Z</dcterms:modified>
</cp:coreProperties>
</file>